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600                                  HEBREWS.                                                           </w:t>
        <w:br/>
        <w:t xml:space="preserve">                      AUTHORIZED      VERSION      REVISED.                                                 </w:t>
        <w:br/>
        <w:t xml:space="preserve">                 ness   of   his  glory,    and    the   express   the   express  image   of his            </w:t>
        <w:br/>
        <w:t xml:space="preserve">    hiomott      image     of  his   substance,      and    *up-|                                           </w:t>
        <w:br/>
        <w:t xml:space="preserve">      Rev. ivit.                                                   |person, and  upholding   all            </w:t>
        <w:br/>
        <w:t xml:space="preserve">                                                                    things  by the word   of his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should  be  disposed  to adopt,  going  how:    Word.    But  it is perhaps a mistake  to let           </w:t>
        <w:br/>
        <w:t xml:space="preserve">    ever  somewhat   further  still: for whereas    this distinction he too           and would.            </w:t>
        <w:br/>
        <w:t xml:space="preserve">     Ebrard  includes  in the  expression  God’s    ead  to the idea of a change   having  taken            </w:t>
        <w:br/>
        <w:t xml:space="preserve">    revelation of Himself in a sphere whose  con-   place in the eternal relation of the  Son to            </w:t>
        <w:br/>
        <w:t xml:space="preserve">    ditions are Time   and  Space,  and so would    the Father,  when  He  subjected himself  to            </w:t>
        <w:br/>
        <w:t xml:space="preserve">     understand  by it all things existing under    the conditions  of space  and  time.   Even             </w:t>
        <w:br/>
        <w:t xml:space="preserve">     these conditions, I would include  in it also  then  He could  say of  Himself,  “ The  Son            </w:t>
        <w:br/>
        <w:t xml:space="preserve">     these conditions  themselves,—which    exist   of Man   which   és in heaven”)   being  (sce           </w:t>
        <w:br/>
        <w:t xml:space="preserve">     not independently   of the Creator, but  are   Phil. ii. 6, which is also said of His  prie-           </w:t>
        <w:br/>
        <w:t xml:space="preserve">     His work—ZZis   appointed  conditions  of all  existent  and  essential being) the  bright-            </w:t>
        <w:br/>
        <w:t xml:space="preserve">     created existence.   So  that the  universe,   ness (““reflexion,” not “effulgence.”   This            </w:t>
        <w:br/>
        <w:t xml:space="preserve">     ‘as well  its great primeval  conditions, —    latter would  be  legitimate, but  does  not            </w:t>
        <w:br/>
        <w:t xml:space="preserve">     thereaches  of Space, and the ages of Time,    seem   to have   been  the  ordinary  usage.            </w:t>
        <w:br/>
        <w:t xml:space="preserve">     as in all material objects and all successive  See  Wisd.    vii,  where  wisdom   is called           </w:t>
        <w:br/>
        <w:t xml:space="preserve">     cvents, which furnish out  and people Space    “the  brightness  of the everlasting light.”            </w:t>
        <w:br/>
        <w:t xml:space="preserve">     and  ‘Time, God  made   by Christ.   Tt will   And  this (which,  as Delitzsch  remarks,  is           </w:t>
        <w:br/>
        <w:t xml:space="preserve">     be plain that what  has been  here said will   represented  by the “light  of light” of the            </w:t>
        <w:br/>
        <w:t xml:space="preserve">     apply equally to  ch. xi. 3, which  is com-    Nicene  Creed)  seems   to have   been  m               </w:t>
        <w:br/>
        <w:t xml:space="preserve">     monly  quoted  as decisive for the material    versally the  sense  among    the  ancients:            </w:t>
        <w:br/>
        <w:t xml:space="preserve">     sense  here.  Some   have  endeavoured    to   no  tnice  whatever   being  found   of  the            </w:t>
        <w:br/>
        <w:t xml:space="preserve">     refer the ages (3) to the  new  or spiritual   meaning   ‘reflexion?   Nor  would  the idea            </w:t>
        <w:br/>
        <w:t xml:space="preserve">     world,  or the ages  of the  Messiah,  or of   he  apposite here:  the  Son  of God   is, in           </w:t>
        <w:br/>
        <w:t xml:space="preserve">     the   Christian   Church:    principally  in   this his  essential majesty, the expression,            </w:t>
        <w:br/>
        <w:t xml:space="preserve">     the interests  of Socinianism:   or  (4), to   and the sole expression, of the divine Light,           </w:t>
        <w:br/>
        <w:t xml:space="preserve">     the  various  dispensations   of God’s   re-   —not,   as in his Incarnation, its reflexion)           </w:t>
        <w:br/>
        <w:t xml:space="preserve">     velation  of  Himself:    or  even   (5), as   of His   glory  (not simply  His  light ; nor           </w:t>
        <w:br/>
        <w:t xml:space="preserve">     Fabricius,  to the Gnostic sons,  or emana-    need  the  expression  be confined  to  such            </w:t>
        <w:br/>
        <w:t xml:space="preserve">     tions from   the  divine  Essence,   and  so   literal sense. His  glory, in its   widest              </w:t>
        <w:br/>
        <w:t xml:space="preserve">     to the  higher   spiritual order of  beings,   amplest  reference), and express  image  (or,           </w:t>
        <w:br/>
        <w:t xml:space="preserve">     the angels.  Against  all these,       other   impress:   ‘figure,   Wiclif’s and   Rheims             </w:t>
        <w:br/>
        <w:t xml:space="preserve">     considerations, ch. xi. 3 is a decisive testi- versions:  ‘very image,’  Tyndal  and  Cran-            </w:t>
        <w:br/>
        <w:t xml:space="preserve">     mony).    It will be seen by consulting  the   mer:   ‘ingraved   forme,’ Geneva    version.           </w:t>
        <w:br/>
        <w:t xml:space="preserve">     note  on  John  i. 1,  how   very near   the   'The word  appears   always  to be taken for            </w:t>
        <w:br/>
        <w:t xml:space="preserve">     teaching  of Philo approached  to this erea-   the  impression  stamped  by  a die.  Hence             </w:t>
        <w:br/>
        <w:t xml:space="preserve">     tion of the universe by the Son.               it  is taken  generally  for any  fixed  and            </w:t>
        <w:br/>
        <w:t xml:space="preserve">     3.] “The   Son  of God  now  becomes   Him-    sharply  marked   lineaments,   material  or            </w:t>
        <w:br/>
        <w:t xml:space="preserve">     self the subject.   ‘The verb  belonging  to   spiritual, by  which  a person or  an object:           </w:t>
        <w:br/>
        <w:t xml:space="preserve">     the  relative who   is not  found  till ‘sat   may be   recognized   and  distinguished)  of           </w:t>
        <w:br/>
        <w:t xml:space="preserve">     down’   at the end  of the  verse.  But  the   His   substance   (substantial  or  essential           </w:t>
        <w:br/>
        <w:t xml:space="preserve">     intermediate   participial clauses  do   not   being:  ‘substance,’  Wicl.  Tynd.   Cranm.             </w:t>
        <w:br/>
        <w:t xml:space="preserve">     stand  in the  same   relation to the  main     Rheims:   ‘person,’   Geneva,  and    A. V..           </w:t>
        <w:br/>
        <w:t xml:space="preserve">     sentence.   ‘The first members, * being, Jc.”   Etymologically,  the original word   (Iypo-            </w:t>
        <w:br/>
        <w:t xml:space="preserve">     still set forth those attributes of the  Son   stasis) imports   the lying     being placed            </w:t>
        <w:br/>
        <w:t xml:space="preserve">     of  God  which   are of  a  permanent   cl     underneath:    and  this is put  in common              </w:t>
        <w:br/>
        <w:t xml:space="preserve">     racter, and  belonging  to  Him   before th    usage  for  1) substratum   or foundation—              </w:t>
        <w:br/>
        <w:t xml:space="preserve">     Incamation:    whereas  the following  mem-    fundamentum,     Nearly  connected  with this           </w:t>
        <w:br/>
        <w:t xml:space="preserve">     ber,  the  last  participial clause,  stands      2) establishment, or  the  state of being            </w:t>
        <w:br/>
        <w:t xml:space="preserve">     in  nearer relation  to the  main  sentence,         lished : hence—a) firmness,—  to which            </w:t>
        <w:br/>
        <w:t xml:space="preserve">     expressing  as  it does  the purification  of   idea the word  approaches  in  the last cita-          </w:t>
        <w:br/>
        <w:t xml:space="preserve">      mankind  from sin,wronght  by the mearnate     tion: but  especially in reference  to firm-           </w:t>
        <w:br/>
        <w:t xml:space="preserve">      Son  of God,  as one   individual historical   ness of spirit, confidence; see more  on ch.           </w:t>
        <w:br/>
        <w:t xml:space="preserve">      event,—as  theantecedent  of that exaltation   iii,        substantial  existence, reality,           </w:t>
        <w:br/>
        <w:t xml:space="preserve">      of Him   to the  right hand  of God,  which    in contradistinction  to that  which  exists           </w:t>
        <w:br/>
        <w:t xml:space="preserve">      the main  sentence enounces.”   Bleck.         only  in  appearance    or  idea.  Hence—              </w:t>
        <w:br/>
        <w:t xml:space="preserve">      ‘Who  (this represents, it will be evident,    ©) generally,  consistence  or  eaistence,—            </w:t>
        <w:br/>
        <w:t xml:space="preserve">      rather the pre-existent than  the incarnate    A) itimports  the especial manner  of being,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