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 1]                         ILS    AUTHORSINP.                     [aytropucrioy,                     </w:t>
        <w:br/>
        <w:t xml:space="preserve">                                                                                                            </w:t>
        <w:br/>
        <w:t xml:space="preserve">         and   style   betoken    another    than   Paul:    and   the   writer   confesses                 </w:t>
        <w:br/>
        <w:t xml:space="preserve">         himself    to have   been   one   of  the  disciples   of  the  Apostles,    ch.                   </w:t>
        <w:br/>
        <w:t xml:space="preserve">         which    is repugnant    in  the  last degree   to the  habit   of  Paul.”                         </w:t>
        <w:br/>
        <w:t xml:space="preserve">   And    he  speaks   similarly   in his  Commentary       on  ch. ii. 3  itself,                          </w:t>
        <w:br/>
        <w:t xml:space="preserve">       101.  Very    similar  are  the  comments     of  Brza,    at  least  in  his  earlier               </w:t>
        <w:br/>
        <w:t xml:space="preserve">   editions   : for  all  the passages    quoted    by   Bleck,   from   his introduction,                  </w:t>
        <w:br/>
        <w:t xml:space="preserve">    on ch.  ii. 3, xiii. 26, as being   in his  own   edition  of  Beza    1582,  and   from                </w:t>
        <w:br/>
        <w:t xml:space="preserve">    Spanheim,     as  not   extant   in  that  edition,   are,  in  the  edition   of  1590,                </w:t>
        <w:br/>
        <w:t xml:space="preserve">    which   I use,  expunged,     and  other   comments,     favourable     to the  Pauline                 </w:t>
        <w:br/>
        <w:t xml:space="preserve">    origin,  substituted    for them.                                                                       </w:t>
        <w:br/>
        <w:t xml:space="preserve">       102.  And    this   change    of  opinion    in Beza    only   coincided    with   in-               </w:t>
        <w:br/>
        <w:t xml:space="preserve">    fluences  which    both  in  the  Romish    and  in  the  Protestant    churches    soon                </w:t>
        <w:br/>
        <w:t xml:space="preserve">    repressed    the   progress   of  intelligent   criticism   and   free   expression    of               </w:t>
        <w:br/>
        <w:t xml:space="preserve">    opinion.    Cardinal    Cajetan    was   severely   handled    by  Ambrosius     Catha-                 </w:t>
        <w:br/>
        <w:t xml:space="preserve">    rinus,  who   accnged    him    of the   same   doubts    in relation   to this  Epistle                </w:t>
        <w:br/>
        <w:t xml:space="preserve">    as those   entertained    by  Julian    respecting    the  Gospel    of  St. Matthew:                   </w:t>
        <w:br/>
        <w:t xml:space="preserve">    Erasmus    was   attacked   by   the theologians     of  the  Sorbonne    in  a censure                 </w:t>
        <w:br/>
        <w:t xml:space="preserve">    which   concludes    thus:  “‘ Wonderful     is the  arrogance    and  the  pertinacity                 </w:t>
        <w:br/>
        <w:t xml:space="preserve">    of  this writer,   in  that,   when    so  many    Catholic    doctors,   pontifis,  aud                </w:t>
        <w:br/>
        <w:t xml:space="preserve">    councils  declare    that  this  Epistle    is Paul’s,   and  the   universal   use  and                </w:t>
        <w:br/>
        <w:t xml:space="preserve">    consent   of  the   Church     approves     the  same,   this  writer   still doubts   it,              </w:t>
        <w:br/>
        <w:t xml:space="preserve">    as being   wiser   than  the  whole   world.”    And    finally the  council  of  ‘T'rent,              </w:t>
        <w:br/>
        <w:t xml:space="preserve">    in 1546,   closed   up  the  question    for  Romanists      by   declaring,     “Of  the               </w:t>
        <w:br/>
        <w:t xml:space="preserve">    New    Testament,     . . .  . fourteen    Epistles   of  Paul   the  Apostle:    to  the               </w:t>
        <w:br/>
        <w:t xml:space="preserve">    Romans,    &amp;e.   . . .  . to the  Hebrews.”        So  that  the best  divines   of  that               </w:t>
        <w:br/>
        <w:t xml:space="preserve">    Church    have  since   then  had   only  that  way    open   to them   of  expressing                  </w:t>
        <w:br/>
        <w:t xml:space="preserve">    an  intelligent   judgment,     which    holds   the  matter    of  the  Epistle    to be               </w:t>
        <w:br/>
        <w:t xml:space="preserve">    St. Paul’s,   but  the  style   and  arrangement       that  of  some    other  person:                 </w:t>
        <w:br/>
        <w:t xml:space="preserve">    so  Bellarmine:      so  Estius,   in  his   introduction     to  the  Epistle,   which                 </w:t>
        <w:br/>
        <w:t xml:space="preserve">    is well   worth    reading,    as  a  remarkable      instance    of   his  ability  and                </w:t>
        <w:br/>
        <w:t xml:space="preserve">    candour.                                                                                                </w:t>
        <w:br/>
        <w:t xml:space="preserve">       103.   In  the  Protestant     churches    we   find,  as  might    be  expected,    a               </w:t>
        <w:br/>
        <w:t xml:space="preserve">    longer  prevalence     of   free judgment     on  the  matter.     It will  be  seen   by               </w:t>
        <w:br/>
        <w:t xml:space="preserve">    the  copious    citations   in Bleck,   that  Melanchthon       remained     ever   con-                </w:t>
        <w:br/>
        <w:t xml:space="preserve">    sistent in  quoting   the  Epistle   simply   as  “the   Epistle   to the  Hebrews      :”              </w:t>
        <w:br/>
        <w:t xml:space="preserve">    that  the  Magdeburg      Centuriators     distinctly  denied    the  Pauline    origin:                </w:t>
        <w:br/>
        <w:t xml:space="preserve">    that  Brenz,   in the  Wirtemburg       Confession,   distinguishes    in  his citations                </w:t>
        <w:br/>
        <w:t xml:space="preserve">    this Epistle   from   those  of  St.  Paul.                                                             </w:t>
        <w:br/>
        <w:t xml:space="preserve">       104,  At   the   same   time   we   find  inconsistency     on  the point   in Brenz                 </w:t>
        <w:br/>
        <w:t xml:space="preserve">    himself:    in  the  Commentary       on   the   Epistle   written    by   his  son,  the               </w:t>
        <w:br/>
        <w:t xml:space="preserve">    Pauline    authorship     .is maintained:      also  by   Flacius    Illyricns   (1557)                 </w:t>
        <w:br/>
        <w:t xml:space="preserve">    on  2 priori  grounds.     In  the  Concordien-lormel,        the  Epistle   is cited  in               </w:t>
        <w:br/>
        <w:t xml:space="preserve">    the original   German     without   any  name,   whereas    in  the Latin   ve                          </w:t>
        <w:br/>
        <w:t xml:space="preserve">    ave   “the    Apostle    saith,”   and   the  like.    And    this  latter  view    con-                </w:t>
        <w:br/>
        <w:t xml:space="preserve">             161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