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§1]                          ITS    AUTHORSIIP.                       [ixrropuctiox.                    </w:t>
        <w:br/>
        <w:t xml:space="preserve">                                                                                                            </w:t>
        <w:br/>
        <w:t xml:space="preserve">    tion   (to  say   nothing    of   the   varying    mode     of  citing);    the   totally               </w:t>
        <w:br/>
        <w:t xml:space="preserve">    distinct   mode    of  arguing;     the   rhetorical    accumulation;       the   equi                  </w:t>
        <w:br/>
        <w:t xml:space="preserve">    brium,   even   in the  midst   of  fervid  declamation,     of  periods   and  clause:                 </w:t>
        <w:br/>
        <w:t xml:space="preserve">    the  use  of  different   inferential   and   connecting     particles.    All  of  these               </w:t>
        <w:br/>
        <w:t xml:space="preserve">    great   and   undeniable     variations   may    be  casily   indeed    frittered   down                </w:t>
        <w:br/>
        <w:t xml:space="preserve">    by  an  appearance     of exceptions     ranged   in  tables;   but  still are indelibly                </w:t>
        <w:br/>
        <w:t xml:space="preserve">    impressed    on   the  mind   of  every   intelligent   student   of  the  Epistle,   and               </w:t>
        <w:br/>
        <w:t xml:space="preserve">    as has   heen  observed,    are unanswerable,      just  in proportion    as  the  poiuts               </w:t>
        <w:br/>
        <w:t xml:space="preserve">    of  similarity  ave   detailed  and   insisted  on  ‘,                                                  </w:t>
        <w:br/>
        <w:t xml:space="preserve">       118.   It is again   of course   easy  enough    to  meet   such  considerations     in              </w:t>
        <w:br/>
        <w:t xml:space="preserve">    either  of two   ways  ;  the  former   of  which   recommends       itself to the  mind                </w:t>
        <w:br/>
        <w:t xml:space="preserve">    which    fears   to  enquire    from   motives     of  reverence,    the  latter  to  the               </w:t>
        <w:br/>
        <w:t xml:space="preserve">    superficial  and   indolent.                                                                            </w:t>
        <w:br/>
        <w:t xml:space="preserve">       119.   It may    be  said, that   the   Ifoly  Spirit   of  God,   by  whose    inspi-               </w:t>
        <w:br/>
        <w:t xml:space="preserve">    ration  holy   men   have   written   these   books   of  the  New    Testament,     may                </w:t>
        <w:br/>
        <w:t xml:space="preserve">    bring   it about,   that  the   same   person    may    write  variously    at  different               </w:t>
        <w:br/>
        <w:t xml:space="preserve">    times,  even   be  that  variety   ont  of the  limits  of  human    experience:     that               </w:t>
        <w:br/>
        <w:t xml:space="preserve">    the  same    man,   for   instance,   should    have   written    the  Epistle    to  the               </w:t>
        <w:br/>
        <w:t xml:space="preserve">    Romans     and   the  First   Epistle   of   St. John.     In   answer    to  which    we               </w:t>
        <w:br/>
        <w:t xml:space="preserve">    may   safely  say,  that  what   the   Holy   Spirit  may   or  can  do,  is not   for us               </w:t>
        <w:br/>
        <w:t xml:space="preserve">    to  speenlate   upon:    in this  His   proceeding     of                He   has  given                </w:t>
        <w:br/>
        <w:t xml:space="preserve">    us  abundant    and    undeniable    examples     of  what    He   has  done:    and   by               </w:t>
        <w:br/>
        <w:t xml:space="preserve">    such  examples     are  we  to  be guided,    in all questions    as to  the analogy    of              </w:t>
        <w:br/>
        <w:t xml:space="preserve">    His   proceedings     in  more    doubtful    cases.    As  matter   of  fact, the  style               </w:t>
        <w:br/>
        <w:t xml:space="preserve">    and   diction   of  St. Paul    differ  as much     from   those   of  St. John   as  can               </w:t>
        <w:br/>
        <w:t xml:space="preserve">    well  be   conceived.      When     therefore   we    find  in   the  sacred    writings                </w:t>
        <w:br/>
        <w:t xml:space="preserve">    phenomena      of  difference  apparently     incompatible    with   personal   identity                </w:t>
        <w:br/>
        <w:t xml:space="preserve">    in their  authors,   we   are not  to   be  precluded    from   reasoning    from   them                </w:t>
        <w:br/>
        <w:t xml:space="preserve">    to  the   non-identity    of  such   authors,    by   any   vague   assertions    of  the               </w:t>
        <w:br/>
        <w:t xml:space="preserve">    omnipotence     of  the Almighty      Spirit.                                                           </w:t>
        <w:br/>
        <w:t xml:space="preserve">       120,   Again   it may   be  strongly   urged,   that   the. same    person,   writing                </w:t>
        <w:br/>
        <w:t xml:space="preserve">    at  different   times,  and    to different   persons,    may   employ    very   various                </w:t>
        <w:br/>
        <w:t xml:space="preserve">    modes   of  diction  and   argument.      Nothing     can   be  truer   than  this:   but               </w:t>
        <w:br/>
        <w:t xml:space="preserve">    the  application   of  it to the   question   of  identity   of authorship     is matter                </w:t>
        <w:br/>
        <w:t xml:space="preserve">    of  penetration    and   appreciation.       Details   of  diversity,   which    may   be               </w:t>
        <w:br/>
        <w:t xml:space="preserve">    convincing     to  one   man,   may    be   wholly    inappreciable,     from    various                </w:t>
        <w:br/>
        <w:t xml:space="preserve">    reasons,  by   another.     As  regards    the matter   before   us,  it may   suffice  to              </w:t>
        <w:br/>
        <w:t xml:space="preserve">    say,  that  the incompatibility     of  styles  was   felt  in  the  earliest   days   by               </w:t>
        <w:br/>
        <w:t xml:space="preserve">    Greeks     themselves,     as  the   preceding     testimonies     from    Clement      of              </w:t>
        <w:br/>
        <w:t xml:space="preserve">    Alexandria     and   Origen   may   serve   to shew.     Further    than   this  we   can               </w:t>
        <w:br/>
        <w:t xml:space="preserve">    say  nothing,     which    will  be  allowed    as  of  any   weight    by   those   who                </w:t>
        <w:br/>
        <w:t xml:space="preserve">    unfortunately     fail  to   appreciate    the  difference.     We    can  only   repeat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4 Sce this carried out further  below, § v. parr. 9, 10.                               </w:t>
        <w:br/>
        <w:t xml:space="preserve">             165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