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iNtRopucTION.]       THE     EPISTLE        TO    THE     HEBREWS.          _  [cu.   xv.        </w:t>
        <w:br/>
        <w:t xml:space="preserve">                                                                                                            </w:t>
        <w:br/>
        <w:t xml:space="preserve">           that  they   would    equally    apply,   whoever     wrote   the  Epistle   ; and   that        </w:t>
        <w:br/>
        <w:t xml:space="preserve">           the name    of  the  Author    was,   on   the  view    which    they   imply,   equally         </w:t>
        <w:br/>
        <w:t xml:space="preserve">           sure  to have   been   attached   to  it,  But   we    may   well   answer,   that   this,       </w:t>
        <w:br/>
        <w:t xml:space="preserve">           however    plausible,   is not  so  in reality.    It  does  not  follow,   because   the        </w:t>
        <w:br/>
        <w:t xml:space="preserve">           name    of  the great   Apostle     was   sure  to  be   attached   to  it  if he  really        </w:t>
        <w:br/>
        <w:t xml:space="preserve">           wrote   it, that  every  other   name    was   equally   sure.    Many    of  his   disei-       </w:t>
        <w:br/>
        <w:t xml:space="preserve">           ples  and   companions,      eminent    as  they   were,   bore   no  authority    to  be        </w:t>
        <w:br/>
        <w:t xml:space="preserve">           compared     with  his.   This   is  true   evon   of  Luke    and   Barnabas:     much          </w:t>
        <w:br/>
        <w:t xml:space="preserve">           more   of  Titus,  Silas,  and   Clement.      And    if one  of  these   had   been  the        </w:t>
        <w:br/>
        <w:t xml:space="preserve">           acknowledged        author,   there    being    no   notices   in   the   Epistle   itself       </w:t>
        <w:br/>
        <w:t xml:space="preserve">           whereby     he  might    be  with   certainty   recognized    after   the  first circum-         </w:t>
        <w:br/>
        <w:t xml:space="preserve">           stances   of  its  sending   were    forgotten,    how    probable,   that   a  writing,         </w:t>
        <w:br/>
        <w:t xml:space="preserve">           committed     to the  keeping    of  a particular   church,   should    have    been   re-       </w:t>
        <w:br/>
        <w:t xml:space="preserve">           tained  indeed   as  a  sacred   deposit   by  them,    but,  in the   midst   of  porse-        </w:t>
        <w:br/>
        <w:t xml:space="preserve">           eutions  and   troubles,   have   lost the  merely    traditional   designation    which         </w:t>
        <w:br/>
        <w:t xml:space="preserve">           never   had  become    inseparable    from   it.   In   the   one  ease,   the  name    of       </w:t>
        <w:br/>
        <w:t xml:space="preserve">           St. Paul   would    commend     the  Epistle,  and   so would    take  the  first, and an        </w:t>
        <w:br/>
        <w:t xml:space="preserve">           inalienable    place:    in  the  other,   the   weight    and   preciousness     of  the        </w:t>
        <w:br/>
        <w:t xml:space="preserve">           Epistle   would   survive   the  name   of  its Writer,    which   would    not  of itself       </w:t>
        <w:br/>
        <w:t xml:space="preserve">           have   been   its commendation.         The   like   might    have   happened     to  the        </w:t>
        <w:br/>
        <w:t xml:space="preserve">           Gospel,    or  Acts,  of  St.  Luke,    but   for  the  fact,  that   in  this  case  not        </w:t>
        <w:br/>
        <w:t xml:space="preserve">           one  particular   church,   but   the  whole   Christian    world,   was   the  guardian         </w:t>
        <w:br/>
        <w:t xml:space="preserve">           of  the  deposit,   and  of  the  tradition   attached   to  it.                                 </w:t>
        <w:br/>
        <w:t xml:space="preserve">              187.   Another    solution   has  been   suggested    hy  Steudel    : that  the book         </w:t>
        <w:br/>
        <w:t xml:space="preserve">           has  more    the character   of  a treatise  than  of  an  Epistle,  and  therefore   was        </w:t>
        <w:br/>
        <w:t xml:space="preserve">           not  begun    in epistolary   form:    some   letter  being  probably    sent  with  it, or      </w:t>
        <w:br/>
        <w:t xml:space="preserve">           the  enstomary     personal   messages    being  orally  delivered.      But  the  postu-        </w:t>
        <w:br/>
        <w:t xml:space="preserve">           late  may   be safely  denied.    Our   Epistle   is veritably  an  Epistle:   addressed         </w:t>
        <w:br/>
        <w:t xml:space="preserve">           to  readers  of  whom    certain  facts  were   specially   true, containing    cxhorta-         </w:t>
        <w:br/>
        <w:t xml:space="preserve">           tions  founded    on  those  facts,  and  notices  arising   out of  the relation  of  the       </w:t>
        <w:br/>
        <w:t xml:space="preserve">           writer   to his  readers   ; which   last sufficiently   shew,  that  no  other   Epistle        </w:t>
        <w:br/>
        <w:t xml:space="preserve">           could   have   accompanied      it, nor  indeed   any   considerable    trusting   to  the       </w:t>
        <w:br/>
        <w:t xml:space="preserve">           oral  supplementing      of  its notices.                                                        </w:t>
        <w:br/>
        <w:t xml:space="preserve">               *38.   Yet   another    solution   has  been    given   by  Hug    and    Spanheim:          </w:t>
        <w:br/>
        <w:t xml:space="preserve">            chat in  an  oratorical   style  like that  of  the  opening   of this  Epistle,   it was       </w:t>
        <w:br/>
        <w:t xml:space="preserve">            not  probable    that  a  superseription      would    precede.     True:    but   what,        </w:t>
        <w:br/>
        <w:t xml:space="preserve">            when   conceded,    does  this  indicate?      Is it not  just  as good   an  argument          </w:t>
        <w:br/>
        <w:t xml:space="preserve">            to shew   that  one   who   never   begins   his Epistles   thus,   is not  the Writer,         </w:t>
        <w:br/>
        <w:t xml:space="preserve">           as  to account    for his  beginning     thus,  supposing    him   the  Writer?       The        </w:t>
        <w:br/>
        <w:t xml:space="preserve">            reason  for our  Epistle  beginning    as it does  is, unquestionably,    the character         </w:t>
        <w:br/>
        <w:t xml:space="preserve">            of     whole,   containing    few  personal   notices  of the  relation  of  the Writer         </w:t>
        <w:br/>
        <w:t xml:space="preserve">            to his  readers.    But    granted,   as we   have  sufliciently   shewn,   that  it was        </w:t>
        <w:br/>
        <w:t xml:space="preserve">            not  the  object  of  the  Author     to remain    unknown      to his  readers,   [ ask        </w:t>
        <w:br/>
        <w:t xml:space="preserve">            any   one  capable    of  forming    an  unbiassed    judgment,     is it possible   that       </w:t>
        <w:br/>
        <w:t xml:space="preserve">                     170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