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JUDE.                                         939               </w:t>
        <w:br/>
        <w:t xml:space="preserve">                                                                                                            </w:t>
        <w:br/>
        <w:t xml:space="preserve">    might  and  power,  before all time  (before   conelusion  of a doxology:   compare   Rom.              </w:t>
        <w:br/>
        <w:t xml:space="preserve">    the whole  age,  i.e., of tho world.   Thus    i. 15, 1 Pet.  iv. 11 [and   2 Pet.    iii,              </w:t>
        <w:br/>
        <w:t xml:space="preserve">    we  have  eternity past)   ‘and now    (thus,  where, as here, it stands at the end of  the             </w:t>
        <w:br/>
        <w:t xml:space="preserve">    time present),  and  to all the ages   (thus,  Epistle].                                                </w:t>
        <w:br/>
        <w:t xml:space="preserve">    eternity  future)—Amen       (tho  ordinary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