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§urj          FOR     WHAT       READERS          WRITTEN.           [ixtropucrion.                       </w:t>
        <w:br/>
        <w:t xml:space="preserve">                                                                                                            </w:t>
        <w:br/>
        <w:t xml:space="preserve">  Thus    the  great   fight   of  afflictions  is  fully justified:    thus,  the  being                   </w:t>
        <w:br/>
        <w:t xml:space="preserve">  made   a  spectacle    of in  reproaches    and   tribulations,    which   finds  almost                  </w:t>
        <w:br/>
        <w:t xml:space="preserve">  an  echo   in  the  expression     of  Tacitus,   that  mockery     was   added    to the                 </w:t>
        <w:br/>
        <w:t xml:space="preserve">  sufferings  of  the   dying   Christians,    and   is so  exactly    in  accord,   when                   </w:t>
        <w:br/>
        <w:t xml:space="preserve">  literally  taken,  with   the  cruel  exposures    and  deaths   in  the  circus.    The                  </w:t>
        <w:br/>
        <w:t xml:space="preserve"> prisoners   and   the  spoiling   too, on   this  supposition,    would   be  matters   of                 </w:t>
        <w:br/>
        <w:t xml:space="preserve">  course.    And    I  own,   notwithstanding      the   objection   stated   above,   that                 </w:t>
        <w:br/>
        <w:t xml:space="preserve">  all this  seems   to  fit the  great  Nera          persecution,    and  in  the  fullest                 </w:t>
        <w:br/>
        <w:t xml:space="preserve">  sense,  that  only.                                                                                       </w:t>
        <w:br/>
        <w:t xml:space="preserve">     33.  To    that   period   also   may    we   refer   the   notice   in  ch.  3                        </w:t>
        <w:br/>
        <w:t xml:space="preserve">  “Remember       your   leaders,  who    spoke   to you   the  word   of God,   of whom                    </w:t>
        <w:br/>
        <w:t xml:space="preserve">  regarding    the  end   of  their  conversation,     imitate   their  faith.”    Tt  may                  </w:t>
        <w:br/>
        <w:t xml:space="preserve">  be  indeed,   that   this  refers  simply    to  a   natural   death   in  the  faith  of                 </w:t>
        <w:br/>
        <w:t xml:space="preserve">  Christ:    but  it is far more   probable,    from   the  terms   used,   that it points                  </w:t>
        <w:br/>
        <w:t xml:space="preserve">  to  death   by  martyrdom:       faith   having    been   so  strongly    illustrated  in                 </w:t>
        <w:br/>
        <w:t xml:space="preserve">  ch.  xi., as bearing    up  under   torments    and  death.                                               </w:t>
        <w:br/>
        <w:t xml:space="preserve">     34.  On   this  hypothesis,    several   other   matters    seem   also  to  fall into                 </w:t>
        <w:br/>
        <w:t xml:space="preserve">  place.    The   setting    at  liberty    of  Timotheus      may    well  refer   to  the                 </w:t>
        <w:br/>
        <w:t xml:space="preserve">  termination    of  some    imprisonment      of  Timotheus     consequent     upon    the                 </w:t>
        <w:br/>
        <w:t xml:space="preserve">  Neronian     persecution,    from    which    perhaps     the   death   of   the  tyrant                  </w:t>
        <w:br/>
        <w:t xml:space="preserve">  liberated   him.    Where     this  imprisonment       took  place,  must    be  wholly                   </w:t>
        <w:br/>
        <w:t xml:space="preserve">  uncertain.     I  shall  speak   of  the   conjectural    probabilities   of  the   place                 </w:t>
        <w:br/>
        <w:t xml:space="preserve">  indicated   by  the  words    if he  come   shortly,   when    I come    to treat  of tho                 </w:t>
        <w:br/>
        <w:t xml:space="preserve">  time  and   place  of  writing,                                                                           </w:t>
        <w:br/>
        <w:t xml:space="preserve">     35.   The   use   evidently    made    in  our   Epistle   of  the   Epistle   to  the                 </w:t>
        <w:br/>
        <w:t xml:space="preserve">  Romans,    above    all other   of  St. Paul’s*,   will  thus   also  be  satisfactorily                  </w:t>
        <w:br/>
        <w:t xml:space="preserve">  aecounted     for.    Not   only   was    the  same    church     addressed,    but   the                 </w:t>
        <w:br/>
        <w:t xml:space="preserve">  Writer   had  especially   before  him   the matter   and   language   of  that Epistle,                  </w:t>
        <w:br/>
        <w:t xml:space="preserve">  which    was   written    in  all  probability    from   Corinth,    the  sceno   of  the                 </w:t>
        <w:br/>
        <w:t xml:space="preserve">  Jabours   of  Paul  and   Apollos.                                                                        </w:t>
        <w:br/>
        <w:t xml:space="preserve">     36.  The    sort  of  semi-anonymous        character    of  our   Epistle,   already                  </w:t>
        <w:br/>
        <w:t xml:space="preserve">  treated   of when    we   ascribed   the   authorship    to Apollos,    will  also  come                  </w:t>
        <w:br/>
        <w:t xml:space="preserve">  in  here,  as singularly    in accord    with  the  circumstances     of  the  case,  and                 </w:t>
        <w:br/>
        <w:t xml:space="preserve">  with   the  subsequent      tradition   as   regards    the  Epistle,   in case   it was                  </w:t>
        <w:br/>
        <w:t xml:space="preserve">  addressed     to  the  church     in  Rome.      Supposing,    as  we   have   gathered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¥ Sco below, § iii. par.                                                                               </w:t>
        <w:br/>
        <w:t xml:space="preserve">     2 This has  been  noticed  by  many;   and  may  be  established  by consulting   those                </w:t>
        <w:br/>
        <w:t xml:space="preserve">  Commentators    and  writers, who  have  drawn  up  tables of  verbal eoincidence  with  a                </w:t>
        <w:br/>
        <w:t xml:space="preserve">  view  of  proving  the  Pauline  anthorship.    There  is reason  for  thinking  that  the                </w:t>
        <w:br/>
        <w:t xml:space="preserve">  peculiar form of the quotation, « Vengeance   is mine, I will        in ch. x.   a                        </w:t>
        <w:br/>
        <w:t xml:space="preserve">  neither  with the  Hebrew   text of  Deut.  xxii,  35, nor with  the  Septungint   v                      </w:t>
        <w:br/>
        <w:t xml:space="preserve">  there, is owing   to its having  heen taken  direct from  Rom.   xii. 19. And   the whole                 </w:t>
        <w:br/>
        <w:t xml:space="preserve">  form  of exhortation iu our ch. xiii.      reminds us forcibly of   that Rom.     xii.                    </w:t>
        <w:br/>
        <w:t xml:space="preserve">  See also Rom.  xiv. 17, as compared  with  Heb. xiii. 9, in § iv.    1, note.                             </w:t>
        <w:br/>
        <w:t xml:space="preserve">           193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