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§1v.]    OCCASION,          OBJECT        OF   WRITING,         &amp;c.  [1xrropuction.                      </w:t>
        <w:br/>
        <w:t xml:space="preserve">                                                                                                            </w:t>
        <w:br/>
        <w:t xml:space="preserve">   double   danger    on  the  church:     on  the  one  hand   that  of  perseeution,   on                 </w:t>
        <w:br/>
        <w:t xml:space="preserve">   the other   that of  apos          Between     these  lay another,   that  of mingling                   </w:t>
        <w:br/>
        <w:t xml:space="preserve">   with   a certain   recognition    of  Jesus   as  the  Christ,   a leaning   to Jewish                   </w:t>
        <w:br/>
        <w:t xml:space="preserve">   practices  and   valuing    of  Jewish    ordinances.      But   this  latter  does   not                </w:t>
        <w:br/>
        <w:t xml:space="preserve">   so much    appear   in our  Epistle,   as in  those  others  which    were  written   by                 </w:t>
        <w:br/>
        <w:t xml:space="preserve">   St. Paul   to  mixed    churches    ; those   to the  Romans’,     the  Galatians,    the                </w:t>
        <w:br/>
        <w:t xml:space="preserve">   Colossians.     The   principal   peril to which    Jewish   converts   were   exposed,                  </w:t>
        <w:br/>
        <w:t xml:space="preserve">   especially   after  they  had   lost  the  guidance     of  the  Apostles   themselves                   </w:t>
        <w:br/>
        <w:t xml:space="preserve">   in their  various    churches,   was,   that  of  falling  back    from   the  despised                  </w:t>
        <w:br/>
        <w:t xml:space="preserve">   following   of  Jesus   of  Nazareth     into  the   more   compact    and  apparently                   </w:t>
        <w:br/>
        <w:t xml:space="preserve">   safer  system   of their  childhood,    which   moreover     they  saw   tolerated   as a                </w:t>
        <w:br/>
        <w:t xml:space="preserve">   lawful  religion,  while   their  own   was   outeast  and   proscribed.                                 </w:t>
        <w:br/>
        <w:t xml:space="preserve">      2. The    object   then   of this  Epistle    is, to shew    them   the  superiority                  </w:t>
        <w:br/>
        <w:t xml:space="preserve">   of the  Gospel    to  the  former   covenant:     and   that   mainly   by  exhibiting,                  </w:t>
        <w:br/>
        <w:t xml:space="preserve">   from  the   Scriptures,   and   from    the  nature   of  the  case,   the  superiority                  </w:t>
        <w:br/>
        <w:t xml:space="preserve">   of Jesus    Himself    to  both  the  messengers     and   the  High   Priests   of  that                </w:t>
        <w:br/>
        <w:t xml:space="preserve">   former   covenant.      This   is the  main    argument     of the  Episile,   filled out                </w:t>
        <w:br/>
        <w:t xml:space="preserve">   and  illustrated   by  various   corollaries  springing    out  of its d       ent parts,                </w:t>
        <w:br/>
        <w:t xml:space="preserve">   and  expanding      in the   directions   of  encouragement,      warning,    and   illus-               </w:t>
        <w:br/>
        <w:t xml:space="preserve">   tration.                                                                                                 </w:t>
        <w:br/>
        <w:t xml:space="preserve">      3. This   argument     is entered   on  at once   without   intreduction    in  ch. i.,               </w:t>
        <w:br/>
        <w:t xml:space="preserve">   where    Christ’s  superiority    to the  angels,   the  mediators    of  the old  cove-                 </w:t>
        <w:br/>
        <w:t xml:space="preserve">   nant,   is demonstrated      from    Scripture.      Then,   having     interposed    (ii.               </w:t>
        <w:br/>
        <w:t xml:space="preserve">   1—4)    a  caution   on  the  greater   necessity   of  taking    heed   to  the  things                 </w:t>
        <w:br/>
        <w:t xml:space="preserve">   which    they  had   heard,   the Writer    shews    (ii, 5—18)    why   Ie   to whom,                   </w:t>
        <w:br/>
        <w:t xml:space="preserve">   and  not  to  the angels,   the  future  world   is subjected,   yet  was  made    lower                 </w:t>
        <w:br/>
        <w:t xml:space="preserve">   than   the  angels  :  viz. that  He   might    become    our   merciful   and   faithful                </w:t>
        <w:br/>
        <w:t xml:space="preserve">   High    Priest,   to  deliver   and    to  save   us,  Himself     having    undergono                   </w:t>
        <w:br/>
        <w:t xml:space="preserve">   temptation    like  ourselves,                                                                           </w:t>
        <w:br/>
        <w:t xml:space="preserve">      4.  Having    mentioned     this title  of Christ,   he  goes  back,   and  prepares                  </w:t>
        <w:br/>
        <w:t xml:space="preserve">   the  way   for  its  fuller  treatment,    by  a comparison      of Him    with   Moses                  </w:t>
        <w:br/>
        <w:t xml:space="preserve">   (iii, 1—6),   and   a shewing    that  that  antitypical   rest  of  God,   from  which                  </w:t>
        <w:br/>
        <w:t xml:space="preserve">   unbelief   excludes,   was   not   the  rest  of  the  seventh   day,  nor   that  of the                </w:t>
        <w:br/>
        <w:t xml:space="preserve">   possession   of Canaan,    but one   yet reserved    for the  people   of God   (iii. 7—                 </w:t>
        <w:br/>
        <w:t xml:space="preserve">   iv. 10),  into  which    we   must   all  the  more    strive  to  enter,  because    the                </w:t>
        <w:br/>
        <w:t xml:space="preserve">   word   of our  God    is keen  and   searching    in judgment,    and  nothing    hidden                 </w:t>
        <w:br/>
        <w:t xml:space="preserve">   from   Ilis sight,  with   whom    we   have   to do  (iv.  11—13).                                      </w:t>
        <w:br/>
        <w:t xml:space="preserve">      5.  He   now   resumes    the  main    consideration    of  his  great   subject, 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 One   remarkable  trace we  have  of allusion to this form  of error,—in   its further               </w:t>
        <w:br/>
        <w:t xml:space="preserve">   development,  as appears by the verdict of past experience which  is appended, but  other-               </w:t>
        <w:br/>
        <w:t xml:space="preserve">   wise  singularly resembling  a passage  in the  Epistle to the  Romans   (xiv. 17), in our               </w:t>
        <w:br/>
        <w:t xml:space="preserve">   ch. xiii.  “ For it is good that the heart be established with  grace, not with meats,  y                </w:t>
        <w:br/>
        <w:t xml:space="preserve">   which  they were not profited who  walked  in them.”                                                     </w:t>
        <w:br/>
        <w:t xml:space="preserve">            197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