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vt]                             CANONICITY.                        [wrropuction.                      </w:t>
        <w:br/>
        <w:t xml:space="preserve">                                                                                                            </w:t>
        <w:br/>
        <w:t xml:space="preserve">   and   copious   use  of  it, never  citing  it expressly,   never   appealing    to  it as               </w:t>
        <w:br/>
        <w:t xml:space="preserve">   Seripture,    but  adopting    its words   and  expressions,    just  as  he  docs  those                </w:t>
        <w:br/>
        <w:t xml:space="preserve">   of  other  books   of  the  New    Testament.      It  is to be  observed,    that  when                 </w:t>
        <w:br/>
        <w:t xml:space="preserve">   in  the course    of  thus  incorporating     it he refers  to  the  Scripture,   or uses                </w:t>
        <w:br/>
        <w:t xml:space="preserve">   the  expression    it is written,  it is with   regard   to texts  quoted    not  from  it               </w:t>
        <w:br/>
        <w:t xml:space="preserve">   only,  but  also  from   the Old   ‘Test.   By   this procedure    we   caunot   say that                </w:t>
        <w:br/>
        <w:t xml:space="preserve">   Clement     easts any   slight  on  this Epistle,   for  it is his  constant    practice.                </w:t>
        <w:br/>
        <w:t xml:space="preserve">   He   frequently    quotes   Scripture    as such,  but   it is always    the  Old   Test.                </w:t>
        <w:br/>
        <w:t xml:space="preserve">   Two    or three   times  he  adduces    the  sayings   of  our  Lord,   but  never   even                </w:t>
        <w:br/>
        <w:t xml:space="preserve">   this  in the  form   of  a citation  from   our  existing   gospels,   or in agreement                   </w:t>
        <w:br/>
        <w:t xml:space="preserve">   with   their  exact  words.     All  we   can  gather   from   Clement    is, that, treat-               </w:t>
        <w:br/>
        <w:t xml:space="preserve">   ing  this  as he  does  other   Epistles’,   and  appropriating     largely   as he  docs                </w:t>
        <w:br/>
        <w:t xml:space="preserve">   its  words    and   expressions,    he   certainly   did   not  rank    it below    those                </w:t>
        <w:br/>
        <w:t xml:space="preserve">   others:    an  inference   which   would    lead  us  to believe   that  he  recognized                  </w:t>
        <w:br/>
        <w:t xml:space="preserve">   its  canonical    authority,     But    to found    more    than   this   on  Clement’s                  </w:t>
        <w:br/>
        <w:t xml:space="preserve">   testimony,    would   be  unwarranted      by  fair induetion.                                           </w:t>
        <w:br/>
        <w:t xml:space="preserve">      8.  Justin   Martyr,    amidst   a  few   allusions  to  our  Epistle,  makes    what                 </w:t>
        <w:br/>
        <w:t xml:space="preserve">   can  hardly   but  be  called  canonical    use  of it in his  first  Apology.    There,                 </w:t>
        <w:br/>
        <w:t xml:space="preserve">   in  explaining    that  the  Word    of   God   is also  His   Son,  he  adds,   “ Jfore-                </w:t>
        <w:br/>
        <w:t xml:space="preserve">   over,  He   is called  Angel   and   Apostle.”     Now    it  appears    from   his  own                 </w:t>
        <w:br/>
        <w:t xml:space="preserve">   statement    in  another   place,  that  the  allusion  in  the  words,   “ He  is called                </w:t>
        <w:br/>
        <w:t xml:space="preserve">   ‘an  angel,”  is  to  Gen.   xviii. 2.    It  wonld    seem   therefore,    seeing   that                </w:t>
        <w:br/>
        <w:t xml:space="preserve">   Heb.   iii. 1 is the  only  place   where   our  Lord    is  entitled  an  aposile,  that                </w:t>
        <w:br/>
        <w:t xml:space="preserve">   the   clause   meant    to  embrace     under    it  that.  Passage    as  a   Seripture                 </w:t>
        <w:br/>
        <w:t xml:space="preserve">   testimony    equipollent    with   the  other.                                                           </w:t>
        <w:br/>
        <w:t xml:space="preserve">      4,  In Clement    of Alexandria     and  Origen,   the  reeognition    of our  Epistle                </w:t>
        <w:br/>
        <w:t xml:space="preserve">   as canonical   depends    on  its recognition    as  the  work   of St. Paul.     Where                  </w:t>
        <w:br/>
        <w:t xml:space="preserve">   they  both   cite it as  Scripture,   it is as written   by  him:   and  where    Origen                 </w:t>
        <w:br/>
        <w:t xml:space="preserve">   mentions    the  doubt   about   its being   his, he  adduces    other  Scripture   testi-               </w:t>
        <w:br/>
        <w:t xml:space="preserve">   mony,   observing     that it needs   another   kind   of proof,  not  that  the  Epistle                </w:t>
        <w:br/>
        <w:t xml:space="preserve">   is canonical,   but  that  it is St.  Paul’s.                                                            </w:t>
        <w:br/>
        <w:t xml:space="preserve">      5.  And   very   similar  was   the  proceeding     of  those  parts  of  the  church                 </w:t>
        <w:br/>
        <w:t xml:space="preserve">   where    the Pauline   authorship     was  not  held.    Irenaus,    as  we  have   seen,                </w:t>
        <w:br/>
        <w:t xml:space="preserve">   makes    no use  of the  Epistle.   The   fragment    of Muratori,    representing     the               </w:t>
        <w:br/>
        <w:t xml:space="preserve">   view   of the  Roman    church,   probably    does  not  contain   it. Tertullian,   who                 </w:t>
        <w:br/>
        <w:t xml:space="preserve">   regards   it as written   by  Barnabas,    the  “companion      of the  Apostles,”   cites               </w:t>
        <w:br/>
        <w:t xml:space="preserve">   it, not  as authoritative    in  itself, but  as recording    the  sentiments    of  such                </w:t>
        <w:br/>
        <w:t xml:space="preserve">   a  companion     of  the  Apostles.                                                                      </w:t>
        <w:br/>
        <w:t xml:space="preserve">      6.  Our   Epistle  is, it is true, contained    in  the Syriac   version  (Peschito)                  </w:t>
        <w:br/>
        <w:t xml:space="preserve">   made    at  the   end   of  the  sceond    century:    but   it is entirely   uncertain,                 </w:t>
        <w:br/>
        <w:t xml:space="preserve">   whether     this insertion    in the   canon   accompanied      a  recognition     of  the               </w:t>
        <w:br/>
        <w:t xml:space="preserve">   Pauline    authorship,    or not.    This   recognition,    which    prevailed    in  that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5 The  only exception  is in an express  citation in c. 47 from  1 Corinthians,  where,               </w:t>
        <w:br/>
        <w:t xml:space="preserve">   writing  to the Corinthians, he is appealing to the authority  of St. Puul.                              </w:t>
        <w:br/>
        <w:t xml:space="preserve">             201                              02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