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§  v1]                             CANONICITY.                         [inrropuction.                   </w:t>
        <w:br/>
        <w:t xml:space="preserve">                                                                                                            </w:t>
        <w:br/>
        <w:t xml:space="preserve">    strongly   upheld,    even  when    the  Pauline   authorship     was   not recognized.                 </w:t>
        <w:br/>
        <w:t xml:space="preserve">    Calvin   says,  in  his prologue    to the  Epistle,—I       embrace    it without    eon-              </w:t>
        <w:br/>
        <w:t xml:space="preserve">    troversy   as  among     the apostolical    writings,   and   doubt   not  that  it arose               </w:t>
        <w:br/>
        <w:t xml:space="preserve">    in  former   days   from   the   artifice of  Satan   that  some    detracted    from   its             </w:t>
        <w:br/>
        <w:t xml:space="preserve">    authority.     For   there  is none   of the   sacred   books    that  treats so  clearly               </w:t>
        <w:br/>
        <w:t xml:space="preserve">    of  Christ’s  priesthood,    so  gloriously   extols   the  force  and  dignity   of  the               </w:t>
        <w:br/>
        <w:t xml:space="preserve">    one   sacrifice  which    He  offered   by  His  Death,    treats so  copiously    of  the              </w:t>
        <w:br/>
        <w:t xml:space="preserve">    use   and   abrogation    of ceremonies,    and    in a  word    more    fully  explains                </w:t>
        <w:br/>
        <w:t xml:space="preserve">    Christ   as  the  end   of  the  law.    Wherefore     let  us not  suffer  the  Church                 </w:t>
        <w:br/>
        <w:t xml:space="preserve">    of God    and  ourselves   to  be  spoiled    of  such   a  treasure,   but  constantly                 </w:t>
        <w:br/>
        <w:t xml:space="preserve">    claim   its possession.     Who   composed     it, is not much   worth   caring  about.”                </w:t>
        <w:br/>
        <w:t xml:space="preserve">       13.  Beza   speaks    in the  same   strain:   “ What    is the  use  of  contending                 </w:t>
        <w:br/>
        <w:t xml:space="preserve">    about   the  author's   name,    which   he  himself   wished    to conceal   ?    Let  it              </w:t>
        <w:br/>
        <w:t xml:space="preserve">    suffice  to know    this, that  it was  truly  dictated   by  the Holy    Spirit, &amp;c.”                  </w:t>
        <w:br/>
        <w:t xml:space="preserve">       14.   Similarly   also  the  Gallican   Confession,    which,   though   it divides  it              </w:t>
        <w:br/>
        <w:t xml:space="preserve">    off from   the Pauline    writings,   yet  includes   it without   remark    among    the               </w:t>
        <w:br/>
        <w:t xml:space="preserve">    canonieal   books.     So  also the  Arminians,     e. g. Limborch,     who,   believing                </w:t>
        <w:br/>
        <w:t xml:space="preserve">    it to have   been   written   by  one   of the  companions      of  Paul,  with    Paul's               </w:t>
        <w:br/>
        <w:t xml:space="preserve">    knowledge,     acknowledges       its  divine  authority,    and   even   prefers   it  to              </w:t>
        <w:br/>
        <w:t xml:space="preserve">    many    of the  Apostle’s    own   writings.                                                            </w:t>
        <w:br/>
        <w:t xml:space="preserve">       15.  Among      the early  Lutheran     divines  there   were   some   differences   of              </w:t>
        <w:br/>
        <w:t xml:space="preserve">    opinion   respecting   the   place  to  be   assigned   to  the  Epistle  ; the  general                </w:t>
        <w:br/>
        <w:t xml:space="preserve">    view   being,  that  it was   to  be  read,  as  Jerome    first  wrote    of the   Apo-                </w:t>
        <w:br/>
        <w:t xml:space="preserve">    eryphal   Old   Test.  books,   for the  edification   of the  people,  but  not  for the               </w:t>
        <w:br/>
        <w:t xml:space="preserve">    confirmation    of ecclesiastical   doctrines.     In  other  words,   it was  set apart,               </w:t>
        <w:br/>
        <w:t xml:space="preserve">    —and    in  this  relegation    six  other   books   shared,   2  Pet.,  2 and   3 John,                </w:t>
        <w:br/>
        <w:t xml:space="preserve">    James,   Jude,    and   the   Apocalypse—among            the  Apocryphal       writings                </w:t>
        <w:br/>
        <w:t xml:space="preserve">    appended    to  the New    Test.     And   this order   was   usually  followed    in the               </w:t>
        <w:br/>
        <w:t xml:space="preserve">    German     Bibles.                                                                                      </w:t>
        <w:br/>
        <w:t xml:space="preserve">       16.  Soon   however     after  the beginning     of  the  17th   century,   this   dis-              </w:t>
        <w:br/>
        <w:t xml:space="preserve">    tinction   began    to  be  obliterated,   and   the  practice   to  be  introduced     of              </w:t>
        <w:br/>
        <w:t xml:space="preserve">    calling  these  books    deutero-canonical,     i. e. canonical   in the  second    rank,               </w:t>
        <w:br/>
        <w:t xml:space="preserve">    and,   although    thus   called,  of  citing   them    as  of  equal   authority,    and               </w:t>
        <w:br/>
        <w:t xml:space="preserve">    equally    inspired,   with    the  other    books,     Since   that   time,   the   con-               </w:t>
        <w:br/>
        <w:t xml:space="preserve">    troversies   respecting    the  books   of  Scripture    have   taken  a  wider   range,                </w:t>
        <w:br/>
        <w:t xml:space="preserve">    and   it  has   not   been    so  much     respecting    canonicity,     as  respecting                 </w:t>
        <w:br/>
        <w:t xml:space="preserve">    origin,  character,   and   doctrine,   that   the  disputes   of  divines   have   been                </w:t>
        <w:br/>
        <w:t xml:space="preserve">    waged.                                                                                                  </w:t>
        <w:br/>
        <w:t xml:space="preserve">       17.  In  our   own    country,   at  the  time   of  the  Reformation,     while   the               </w:t>
        <w:br/>
        <w:t xml:space="preserve">    question    of  authorship    was    left open,   the   canonical    authority    of  the               </w:t>
        <w:br/>
        <w:t xml:space="preserve">    Epistle   was  never   doubted.      To  establish   this, it may   be  enough    to  cite              </w:t>
        <w:br/>
        <w:t xml:space="preserve">    some   testimonies,                                                                                     </w:t>
        <w:br/>
        <w:t xml:space="preserve">       In  Tyndale’s    prologue    to  the  Epistle,   he  says,  haying   mentioned     the               </w:t>
        <w:br/>
        <w:t xml:space="preserve">    objection   to the  Pauline    authorship    from   ch. ii. 3,                                          </w:t>
        <w:br/>
        <w:t xml:space="preserve">             203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