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0"/>
        <w:gridCol w:w="6406"/>
        <w:gridCol w:w="2150"/>
      </w:tblGrid>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r>
        <w:trPr>
          <w:cantSplit/>
          <w:tblHeader w:val="false"/>
          <w:trHeight w:val="1420" w:hRule="atLeast"/>
        </w:trPr>
        <w:tc>
          <w:tcPr>
            <w:tcW w:type="dxa" w:w="1350"/>
            <w:shd w:fill="0B0F16" w:color="auto" w:val="clear"/>
            <w:tcMar>
              <w:top w:type="dxa" w:w="40"/>
              <w:left w:type="dxa" w:w="80"/>
              <w:bottom w:type="dxa" w:w="40"/>
              <w:right w:type="dxa" w:w="40"/>
            </w:tcMar>
            <w:vAlign w:val="center"/>
          </w:tcPr>
          <w:p>
            <w:pPr>
              <w:spacing w:after="0"/>
              <w:jc w:val="center"/>
            </w:pPr>
            <w:r>
              <w:drawing>
                <wp:inline distT="0" distB="0" distL="0" distR="0">
                  <wp:extent cx="6858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28650"/>
                          </a:xfrm>
                          <a:prstGeom prst="rect">
                            <a:avLst/>
                          </a:prstGeom>
                        </pic:spPr>
                      </pic:pic>
                    </a:graphicData>
                  </a:graphic>
                </wp:inline>
              </w:drawing>
            </w:r>
          </w:p>
        </w:tc>
        <w:tc>
          <w:tcPr>
            <w:tcW w:type="dxa" w:w="6406"/>
            <w:shd w:fill="0B0F16" w:color="auto" w:val="clear"/>
            <w:tcMar>
              <w:top w:type="dxa" w:w="90"/>
              <w:left w:type="dxa" w:w="120"/>
              <w:bottom w:type="dxa" w:w="90"/>
              <w:right w:type="dxa" w:w="80"/>
            </w:tcMar>
            <w:vAlign w:val="center"/>
          </w:tcPr>
          <w:p>
            <w:pPr>
              <w:keepNext w:val="false"/>
              <w:keepLines w:val="false"/>
              <w:spacing w:after="10" w:before="0" w:line="240" w:lineRule="auto"/>
              <w:jc w:val="left"/>
            </w:pPr>
            <w:r>
              <w:rPr>
                <w:rFonts w:ascii="Calibri" w:cs="Calibri" w:eastAsia="Calibri" w:hAnsi="Calibri"/>
                <w:b/>
                <w:bCs/>
                <w:i w:val="false"/>
                <w:iCs w:val="false"/>
                <w:caps/>
                <w:color w:val="E0BC4A"/>
                <w:spacing w:val="70"/>
                <w:sz w:val="17"/>
                <w:szCs w:val="17"/>
              </w:rPr>
              <w:t xml:space="preserve">Borang 5</w:t>
            </w:r>
          </w:p>
          <w:p>
            <w:pPr>
              <w:keepNext w:val="false"/>
              <w:keepLines w:val="false"/>
              <w:spacing w:after="20" w:before="0" w:line="240" w:lineRule="auto"/>
              <w:jc w:val="left"/>
            </w:pPr>
            <w:r>
              <w:rPr>
                <w:rFonts w:ascii="Cambria" w:cs="Cambria" w:eastAsia="Cambria" w:hAnsi="Cambria"/>
                <w:b/>
                <w:bCs/>
                <w:i w:val="false"/>
                <w:iCs w:val="false"/>
                <w:caps w:val="false"/>
                <w:color w:val="FFFFFF"/>
                <w:spacing w:val="10"/>
                <w:sz w:val="40"/>
                <w:szCs w:val="40"/>
              </w:rPr>
              <w:t xml:space="preserve">PENILAIAN HAKIM</w:t>
            </w:r>
          </w:p>
          <w:p>
            <w:pPr>
              <w:keepNext w:val="false"/>
              <w:keepLines w:val="false"/>
              <w:spacing w:after="0" w:before="0" w:line="240" w:lineRule="auto"/>
              <w:jc w:val="left"/>
            </w:pPr>
            <w:r>
              <w:rPr>
                <w:rFonts w:ascii="Calibri" w:cs="Calibri" w:eastAsia="Calibri" w:hAnsi="Calibri"/>
                <w:b w:val="false"/>
                <w:bCs w:val="false"/>
                <w:i/>
                <w:iCs/>
                <w:caps w:val="false"/>
                <w:color w:val="D6D2C4"/>
                <w:sz w:val="17"/>
                <w:szCs w:val="17"/>
              </w:rPr>
              <w:t xml:space="preserve">Borang 5 · Diisi oleh setiap ahli panel hakim tetap</w:t>
            </w:r>
          </w:p>
        </w:tc>
        <w:tc>
          <w:tcPr>
            <w:tcW w:type="dxa" w:w="2150"/>
            <w:shd w:fill="0B0F16" w:color="auto" w:val="clear"/>
            <w:tcMar>
              <w:top w:type="dxa" w:w="30"/>
              <w:left w:type="dxa" w:w="40"/>
              <w:bottom w:type="dxa" w:w="30"/>
              <w:right w:type="dxa" w:w="80"/>
            </w:tcMar>
            <w:vAlign w:val="center"/>
          </w:tcPr>
          <w:p>
            <w:pPr>
              <w:spacing w:after="0"/>
              <w:jc w:val="center"/>
            </w:pPr>
            <w:r>
              <w:drawing>
                <wp:inline distT="0" distB="0" distL="0" distR="0">
                  <wp:extent cx="12192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723900"/>
                          </a:xfrm>
                          <a:prstGeom prst="rect">
                            <a:avLst/>
                          </a:prstGeom>
                        </pic:spPr>
                      </pic:pic>
                    </a:graphicData>
                  </a:graphic>
                </wp:inline>
              </w:drawing>
            </w:r>
          </w:p>
        </w:tc>
      </w:tr>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6"/>
          <w:left w:val="single" w:color="C9A227" w:sz="6"/>
          <w:bottom w:val="single" w:color="C9A227" w:sz="6"/>
          <w:right w:val="single" w:color="C9A227" w:sz="6"/>
          <w:insideH w:val="single" w:color="C9A227" w:sz="6"/>
          <w:insideV w:val="single" w:color="C9A227" w:sz="6"/>
        </w:tblBorders>
        <w:tblLayout w:type="fixed"/>
      </w:tblPr>
      <w:tblGrid>
        <w:gridCol w:w="3302"/>
        <w:gridCol w:w="3302"/>
        <w:gridCol w:w="3302"/>
      </w:tblGrid>
      <w:tr>
        <w:trPr>
          <w:cantSplit/>
          <w:tblHeader w:val="false"/>
          <w:trHeight w:val="600" w:hRule="atLeast"/>
        </w:trPr>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Diisi Oleh</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Setiap ahli panel hakim</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Bila Diisi</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Semasa sesi persembahan</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Diserahkan Kepada</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Ketua Hakim</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Borang ini digunakan oleh hakim tetap untuk menilai setiap kumpulan berpandukan rubrik dalam Lampiran 6. Setiap hakim menilai secara bebas. Markah dikumpul dan panel membuat keputusan secara kolektif yang disahkan oleh Ketua Hakim.</w:t>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A</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Penilaian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1008"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Hakim</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Kod Atau Nama Kumpulan Dinilai</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Negeri</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Tajuk Projek</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Tarikh Penilaian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B</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Pemarkahan Sembilan Komponen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760"/>
        <w:gridCol w:w="560"/>
        <w:gridCol w:w="3900"/>
        <w:gridCol w:w="1500"/>
        <w:gridCol w:w="3186"/>
      </w:tblGrid>
      <w:tr>
        <w:trPr>
          <w:cantSplit/>
          <w:tblHeader/>
          <w:trHeight w:val="430" w:hRule="atLeast"/>
        </w:trPr>
        <w:tc>
          <w:tcPr>
            <w:tcW w:type="dxa" w:w="76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
            </w:r>
          </w:p>
        </w:tc>
        <w:tc>
          <w:tcPr>
            <w:tcW w:type="dxa" w:w="56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Bil.</w:t>
            </w:r>
          </w:p>
        </w:tc>
        <w:tc>
          <w:tcPr>
            <w:tcW w:type="dxa" w:w="39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Komponen (Markah Penuh)</w:t>
            </w:r>
          </w:p>
        </w:tc>
        <w:tc>
          <w:tcPr>
            <w:tcW w:type="dxa" w:w="15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Markah</w:t>
            </w:r>
          </w:p>
        </w:tc>
        <w:tc>
          <w:tcPr>
            <w:tcW w:type="dxa" w:w="318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Catatan Atau Justifikasi</w:t>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1</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Kreativiti Konsep Dan Visual (20)</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20</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2</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Kandungan, Fakta Dan Mesej (15)</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15</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3</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Penggunaan Canva (15)</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15</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4</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Penggunaan AI Bagi Imej, Watak, Avatar Dan Environment (10)</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10</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5</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Suntingan CapCut Dan Video (10)</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10</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6</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Audio Bagi Lagu, Muzik, Sound Effects Dan Suara/TTS (10)</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10</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7</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Etika, Sumber Dan Deklarasi AI (5)</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5</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8</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Persembahan Dan Soal Jawab (10)</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10</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1008" w:hRule="atLeast"/>
        </w:trPr>
        <w:tc>
          <w:tcPr>
            <w:tcW w:type="dxa" w:w="760"/>
            <w:shd w:fill="F2EEE3" w:color="auto" w:val="clear"/>
            <w:tcMar>
              <w:top w:type="dxa" w:w="30"/>
              <w:left w:type="dxa" w:w="40"/>
              <w:bottom w:type="dxa" w:w="30"/>
              <w:right w:type="dxa" w:w="40"/>
            </w:tcMar>
            <w:vAlign w:val="center"/>
          </w:tcPr>
          <w:p>
            <w:pPr>
              <w:spacing w:after="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c>
          <w:tcPr>
            <w:tcW w:type="dxa" w:w="56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z w:val="22"/>
                <w:szCs w:val="22"/>
              </w:rPr>
              <w:t xml:space="preserve">9</w:t>
            </w:r>
          </w:p>
        </w:tc>
        <w:tc>
          <w:tcPr>
            <w:tcW w:type="dxa" w:w="3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Watak AURORA (5); markah 3-5 bagi AURORA animasi, imej pegun sahaja siling 2 markah</w:t>
            </w:r>
          </w:p>
        </w:tc>
        <w:tc>
          <w:tcPr>
            <w:tcW w:type="dxa" w:w="1500"/>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val="false"/>
                <w:bCs w:val="false"/>
                <w:i w:val="false"/>
                <w:iCs w:val="false"/>
                <w:caps w:val="false"/>
                <w:color w:val="A8A190"/>
                <w:sz w:val="17"/>
                <w:szCs w:val="17"/>
              </w:rPr>
              <w:t xml:space="preserve">	/ 5</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760" w:hRule="atLeast"/>
        </w:trPr>
        <w:tc>
          <w:tcPr>
            <w:tcW w:type="dxa" w:w="5220"/>
            <w:gridSpan w:val="3"/>
            <w:shd w:fill="0B0F16" w:color="auto" w:val="clear"/>
            <w:tcMar>
              <w:top w:type="dxa" w:w="50"/>
              <w:left w:type="dxa" w:w="110"/>
              <w:bottom w:type="dxa" w:w="50"/>
              <w:right w:type="dxa" w:w="110"/>
            </w:tcMar>
            <w:vAlign w:val="center"/>
          </w:tcPr>
          <w:p>
            <w:pPr>
              <w:keepNext w:val="false"/>
              <w:keepLines w:val="false"/>
              <w:spacing w:after="0" w:before="0" w:line="252" w:lineRule="auto"/>
              <w:jc w:val="right"/>
            </w:pPr>
            <w:r>
              <w:rPr>
                <w:rFonts w:ascii="Cambria" w:cs="Cambria" w:eastAsia="Cambria" w:hAnsi="Cambria"/>
                <w:b/>
                <w:bCs/>
                <w:i w:val="false"/>
                <w:iCs w:val="false"/>
                <w:caps w:val="false"/>
                <w:color w:val="E0BC4A"/>
                <w:spacing w:val="20"/>
                <w:sz w:val="21"/>
                <w:szCs w:val="21"/>
              </w:rPr>
              <w:t xml:space="preserve">JUMLAH MARKAH HAKIM</w:t>
            </w:r>
            <w:r>
              <w:rPr>
                <w:rFonts w:ascii="Calibri" w:cs="Calibri" w:eastAsia="Calibri" w:hAnsi="Calibri"/>
                <w:b w:val="false"/>
                <w:bCs w:val="false"/>
                <w:i w:val="false"/>
                <w:iCs w:val="false"/>
                <w:caps w:val="false"/>
                <w:color w:val="E9E5D8"/>
                <w:sz w:val="17"/>
                <w:szCs w:val="17"/>
              </w:rPr>
              <w:br/>
              <w:t xml:space="preserve">(daripada 100)</w:t>
            </w:r>
          </w:p>
        </w:tc>
        <w:tc>
          <w:tcPr>
            <w:tcW w:type="dxa" w:w="1500"/>
            <w:tcBorders>
              <w:top w:val="single" w:color="C9A227" w:sz="14"/>
              <w:left w:val="single" w:color="C9A227" w:sz="14"/>
              <w:bottom w:val="single" w:color="C9A227" w:sz="14"/>
              <w:right w:val="single" w:color="C9A227" w:sz="14"/>
            </w:tcBorders>
            <w:tcMar>
              <w:top w:type="dxa" w:w="50"/>
              <w:left w:type="dxa" w:w="110"/>
              <w:bottom w:type="dxa" w:w="50"/>
              <w:right w:type="dxa" w:w="110"/>
            </w:tcMar>
            <w:vAlign w:val="center"/>
          </w:tcPr>
          <w:p>
            <w:pPr>
              <w:keepNext w:val="false"/>
              <w:keepLines w:val="false"/>
              <w:tabs>
                <w:tab w:val="right" w:pos="1240"/>
              </w:tabs>
              <w:spacing w:after="0" w:before="0" w:line="264" w:lineRule="auto"/>
              <w:jc w:val="left"/>
            </w:pPr>
            <w:r>
              <w:rPr>
                <w:rFonts w:ascii="Calibri" w:cs="Calibri" w:eastAsia="Calibri" w:hAnsi="Calibri"/>
                <w:b/>
                <w:bCs/>
                <w:i w:val="false"/>
                <w:iCs w:val="false"/>
                <w:caps w:val="false"/>
                <w:color w:val="7A5F0E"/>
                <w:sz w:val="22"/>
                <w:szCs w:val="22"/>
              </w:rPr>
              <w:t xml:space="preserve">	/ 100</w:t>
            </w:r>
          </w:p>
        </w:tc>
        <w:tc>
          <w:tcPr>
            <w:tcW w:type="dxa" w:w="318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80" w:before="0" w:line="264" w:lineRule="auto"/>
        <w:jc w:val="left"/>
      </w:pPr>
      <w:r>
        <w:rPr>
          <w:rFonts w:ascii="Calibri" w:cs="Calibri" w:eastAsia="Calibri" w:hAnsi="Calibri"/>
          <w:b/>
          <w:bCs/>
          <w:i w:val="false"/>
          <w:iCs w:val="false"/>
          <w:caps w:val="false"/>
          <w:color w:val="0B0F16"/>
          <w:sz w:val="19"/>
          <w:szCs w:val="19"/>
        </w:rPr>
        <w:t xml:space="preserve">Panduan aras sebagai peratus daripada markah komponen:</w:t>
      </w:r>
    </w:p>
    <w:tbl>
      <w:tblPr>
        <w:tblW w:type="dxa" w:w="9906"/>
        <w:tblBorders>
          <w:top w:val="single" w:color="0B0F16" w:sz="8"/>
          <w:left w:val="single" w:color="0B0F16" w:sz="8"/>
          <w:bottom w:val="single" w:color="0B0F16" w:sz="8"/>
          <w:right w:val="single" w:color="0B0F16" w:sz="8"/>
          <w:insideH w:val="single" w:color="FFFFFF" w:sz="12"/>
          <w:insideV w:val="single" w:color="FFFFFF" w:sz="12"/>
        </w:tblBorders>
        <w:tblLayout w:type="fixed"/>
      </w:tblPr>
      <w:tblGrid>
        <w:gridCol w:w="2477"/>
        <w:gridCol w:w="2476"/>
        <w:gridCol w:w="2477"/>
        <w:gridCol w:w="2476"/>
      </w:tblGrid>
      <w:tr>
        <w:trPr>
          <w:cantSplit/>
          <w:tblHeader w:val="false"/>
          <w:trHeight w:val="470" w:hRule="atLeast"/>
        </w:trPr>
        <w:tc>
          <w:tcPr>
            <w:tcW w:type="dxa" w:w="2477"/>
            <w:shd w:fill="C9A227"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pacing w:val="20"/>
                <w:sz w:val="22"/>
                <w:szCs w:val="22"/>
              </w:rPr>
              <w:t xml:space="preserve">Cemerlang</w:t>
            </w:r>
          </w:p>
        </w:tc>
        <w:tc>
          <w:tcPr>
            <w:tcW w:type="dxa" w:w="2476"/>
            <w:shd w:fill="A3ACB8"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0B0F16"/>
                <w:spacing w:val="20"/>
                <w:sz w:val="22"/>
                <w:szCs w:val="22"/>
              </w:rPr>
              <w:t xml:space="preserve">Baik</w:t>
            </w:r>
          </w:p>
        </w:tc>
        <w:tc>
          <w:tcPr>
            <w:tcW w:type="dxa" w:w="2477"/>
            <w:shd w:fill="A86A35"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FFFFFF"/>
                <w:spacing w:val="20"/>
                <w:sz w:val="22"/>
                <w:szCs w:val="22"/>
              </w:rPr>
              <w:t xml:space="preserve">Sederhana</w:t>
            </w:r>
          </w:p>
        </w:tc>
        <w:tc>
          <w:tcPr>
            <w:tcW w:type="dxa" w:w="2476"/>
            <w:shd w:fill="5B6472"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mbria" w:cs="Cambria" w:eastAsia="Cambria" w:hAnsi="Cambria"/>
                <w:b/>
                <w:bCs/>
                <w:i w:val="false"/>
                <w:iCs w:val="false"/>
                <w:caps w:val="false"/>
                <w:color w:val="FFFFFF"/>
                <w:spacing w:val="20"/>
                <w:sz w:val="22"/>
                <w:szCs w:val="22"/>
              </w:rPr>
              <w:t xml:space="preserve">Lemah</w:t>
            </w:r>
          </w:p>
        </w:tc>
      </w:tr>
      <w:tr>
        <w:trPr>
          <w:cantSplit/>
          <w:tblHeader w:val="false"/>
          <w:trHeight w:val="520" w:hRule="atLeast"/>
        </w:trPr>
        <w:tc>
          <w:tcPr>
            <w:tcW w:type="dxa" w:w="2477"/>
            <w:shd w:fill="FBF3D5"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9"/>
                <w:szCs w:val="19"/>
              </w:rPr>
              <w:t xml:space="preserve">80 hingga 100%</w:t>
            </w:r>
          </w:p>
        </w:tc>
        <w:tc>
          <w:tcPr>
            <w:tcW w:type="dxa" w:w="2476"/>
            <w:shd w:fill="EEF1F4"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9"/>
                <w:szCs w:val="19"/>
              </w:rPr>
              <w:t xml:space="preserve">60 hingga 79%</w:t>
            </w:r>
          </w:p>
        </w:tc>
        <w:tc>
          <w:tcPr>
            <w:tcW w:type="dxa" w:w="2477"/>
            <w:shd w:fill="F7EADF"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9"/>
                <w:szCs w:val="19"/>
              </w:rPr>
              <w:t xml:space="preserve">40 hingga 59%</w:t>
            </w:r>
          </w:p>
        </w:tc>
        <w:tc>
          <w:tcPr>
            <w:tcW w:type="dxa" w:w="2476"/>
            <w:shd w:fill="F1F2F4"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9"/>
                <w:szCs w:val="19"/>
              </w:rPr>
              <w:t xml:space="preserve">Bawah 40%</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0B0F16"/>
                <w:sz w:val="19"/>
                <w:szCs w:val="19"/>
              </w:rPr>
              <w:t xml:space="preserve">Nota pemarkahan</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Komponen 8 Persembahan dan Soal Jawab yang bernilai sepuluh markah dinilai sepenuhnya oleh panel hakim berdasarkan persembahan langsung dan sesi soal jawab. Penilaian juri awam dijalankan secara berasingan bagi Anugerah Pilihan Juri Awam menggunakan Borang 6 dan tidak ditambah kepada markah ini. Deskriptor penuh setiap aras bagi setiap komponen dirujuk dalam Lampiran 6.</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C</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Ulasan Keseluruhan dan Cadangan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131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Kekuatan Projek</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31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Penambahbaikan Dicadangkan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31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Cadangan Kedudukan Atau Ranking</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6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Perakuan hakim. Saya mengesahkan bahawa penilaian ini dibuat secara bebas dan adil berpandukan rubrik serta bahawa saya tiada konflik kepentingan dengan mana-mana peserta yang dinilai.</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Hakim</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Disahkan Ketua Hakim</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sectPr>
      <w:headerReference w:type="default" r:id="rId7"/>
      <w:footerReference w:type="default" r:id="rId8"/>
      <w:pgSz w:w="11906" w:h="16838" w:orient="portrait"/>
      <w:pgMar w:top="1000" w:right="1000" w:bottom="900" w:left="1000" w:header="44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drawing>
        <wp:inline distT="0" distB="0" distL="0" distR="0">
          <wp:extent cx="6286500"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6200"/>
                  </a:xfrm>
                  <a:prstGeom prst="rect">
                    <a:avLst/>
                  </a:prstGeom>
                </pic:spPr>
              </pic:pic>
            </a:graphicData>
          </a:graphic>
        </wp:inline>
      </w:drawing>
    </w:r>
  </w:p>
  <w:p>
    <w:pPr>
      <w:tabs>
        <w:tab w:val="right" w:pos="9906"/>
      </w:tabs>
      <w:spacing w:after="0"/>
    </w:pPr>
    <w:r>
      <w:rPr>
        <w:rFonts w:ascii="Calibri" w:cs="Calibri" w:eastAsia="Calibri" w:hAnsi="Calibri"/>
        <w:b/>
        <w:bCs/>
        <w:i w:val="false"/>
        <w:iCs w:val="false"/>
        <w:caps w:val="false"/>
        <w:color w:val="0B0F16"/>
        <w:spacing w:val="30"/>
        <w:sz w:val="15"/>
        <w:szCs w:val="15"/>
      </w:rPr>
      <w:t xml:space="preserve">BORANG 5</w:t>
    </w:r>
    <w:r>
      <w:rPr>
        <w:rFonts w:ascii="Calibri" w:cs="Calibri" w:eastAsia="Calibri" w:hAnsi="Calibri"/>
        <w:color w:val="6B7280"/>
        <w:sz w:val="15"/>
        <w:szCs w:val="15"/>
      </w:rPr>
      <w:t xml:space="preserve">	Halaman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906"/>
      </w:tabs>
      <w:spacing w:after="0"/>
    </w:pPr>
    <w:r>
      <w:rPr>
        <w:rFonts w:ascii="Calibri" w:cs="Calibri" w:eastAsia="Calibri" w:hAnsi="Calibri"/>
        <w:b/>
        <w:bCs/>
        <w:i w:val="false"/>
        <w:iCs w:val="false"/>
        <w:caps w:val="false"/>
        <w:color w:val="7A5F0E"/>
        <w:spacing w:val="40"/>
        <w:sz w:val="15"/>
        <w:szCs w:val="15"/>
      </w:rPr>
      <w:t xml:space="preserve">CDKK @FESMA 2026</w:t>
    </w:r>
    <w:r>
      <w:rPr>
        <w:rFonts w:ascii="Calibri" w:cs="Calibri" w:eastAsia="Calibri" w:hAnsi="Calibri"/>
        <w:b w:val="false"/>
        <w:bCs w:val="false"/>
        <w:i w:val="false"/>
        <w:iCs w:val="false"/>
        <w:caps w:val="false"/>
        <w:color w:val="6B7280"/>
        <w:sz w:val="15"/>
        <w:szCs w:val="15"/>
      </w:rPr>
      <w:t xml:space="preserve">	Borang 5 · Penilaian Hakim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678458a8ca62871715d07fc4c4447d19696b88.png"/><Relationship Id="rId10" Type="http://schemas.openxmlformats.org/officeDocument/2006/relationships/image" Target="media/98d4d0db4d536cc258b4d8951f1bed9cb7fe3942.png"/><Relationship Id="rId11" Type="http://schemas.openxmlformats.org/officeDocument/2006/relationships/image" Target="media/e54757655cc0d5ec9e2837d42635b8bcebd126db.png"/><Relationship Id="rId12" Type="http://schemas.openxmlformats.org/officeDocument/2006/relationships/image" Target="media/b4547d799490d005b3eb5daf6a0886a8bbcd3eb1.png"/><Relationship Id="rId13" Type="http://schemas.openxmlformats.org/officeDocument/2006/relationships/image" Target="media/6821085ab27b679e7a3d5e0391dcc52134a26db8.png"/><Relationship Id="rId14" Type="http://schemas.openxmlformats.org/officeDocument/2006/relationships/image" Target="media/bb0ba21c023f02d53b7f4d3edaecb77fe3f6ed94.png"/><Relationship Id="rId15" Type="http://schemas.openxmlformats.org/officeDocument/2006/relationships/image" Target="media/5317a9e702049860b2d92749a4c9987c9138403d.png"/><Relationship Id="rId16" Type="http://schemas.openxmlformats.org/officeDocument/2006/relationships/image" Target="media/bcddf92911ecea1642989e89ace012674fedbdc2.png"/><Relationship Id="rId17" Type="http://schemas.openxmlformats.org/officeDocument/2006/relationships/image" Target="media/cfed209f0609eac4a535bbb0bc18244467d63912.png"/><Relationship Id="rId18" Type="http://schemas.openxmlformats.org/officeDocument/2006/relationships/image" Target="media/cb59a3c9977b5552502cfc6553097dc9f7e4e267.png"/><Relationship Id="rId19" Type="http://schemas.openxmlformats.org/officeDocument/2006/relationships/image" Target="media/6a777ed0200c668b39cd9c4f64234ba194d8dff0.png"/><Relationship Id="rId20" Type="http://schemas.openxmlformats.org/officeDocument/2006/relationships/image" Target="media/c8dff57325774eb85a1719290b2181370bdc7ed7.png"/><Relationship Id="rId21" Type="http://schemas.openxmlformats.org/officeDocument/2006/relationships/image" Target="media/f2362bde1a5d5ac3cc59463a10d84a53ddd6346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c678458a8ca62871715d07fc4c4447d19696b8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Borang 5 Penilaian Hakim</dc:title>
  <dc:creator>Urus Setia CDKK @FESMA 2026</dc:creator>
  <dc:description>Borang CDKK @FESMA 2026 (edisi festival)</dc:description>
  <cp:lastModifiedBy>Un-named</cp:lastModifiedBy>
  <cp:revision>1</cp:revision>
  <dcterms:created xsi:type="dcterms:W3CDTF">2026-10-24T06:52:18.363Z</dcterms:created>
  <dcterms:modified xsi:type="dcterms:W3CDTF">2026-10-24T06:52:18.363Z</dcterms:modified>
</cp:coreProperties>
</file>

<file path=docProps/custom.xml><?xml version="1.0" encoding="utf-8"?>
<Properties xmlns="http://schemas.openxmlformats.org/officeDocument/2006/custom-properties" xmlns:vt="http://schemas.openxmlformats.org/officeDocument/2006/docPropsVTypes"/>
</file>