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bCs/>
          <w:color w:val="C8924C"/>
          <w:sz w:val="56"/>
          <w:szCs w:val="56"/>
        </w:rPr>
        <w:t xml:space="preserve">BerthAI</w:t>
      </w:r>
    </w:p>
    <w:p>
      <w:pPr>
        <w:spacing w:after="200" w:before="0"/>
      </w:pPr>
      <w:r>
        <w:rPr>
          <w:rFonts w:ascii="Arial" w:cs="Arial" w:eastAsia="Arial" w:hAnsi="Arial"/>
          <w:b/>
          <w:bCs/>
          <w:color w:val="0F1B2D"/>
          <w:sz w:val="44"/>
          <w:szCs w:val="44"/>
        </w:rPr>
        <w:t xml:space="preserve">User Guide</w:t>
      </w:r>
    </w:p>
    <w:p>
      <w:pPr>
        <w:spacing w:after="600" w:before="0"/>
      </w:pPr>
      <w:r>
        <w:rPr>
          <w:rFonts w:ascii="Arial" w:cs="Arial" w:eastAsia="Arial" w:hAnsi="Arial"/>
          <w:color w:val="6B7280"/>
          <w:sz w:val="22"/>
          <w:szCs w:val="22"/>
        </w:rPr>
        <w:t xml:space="preserve">What to prepare, how to upload, and what each file needs to contain for accurate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E5DFCF" w:sz="0"/>
              <w:left w:val="none" w:color="E5DFCF" w:sz="0"/>
              <w:bottom w:val="none" w:color="E5DFCF" w:sz="0"/>
              <w:right w:val="none" w:color="E5DFCF" w:sz="0"/>
            </w:tcBorders>
            <w:shd w:fill="F3EFE3" w:val="clear"/>
            <w:tcMar>
              <w:top w:type="dxa" w:w="120"/>
              <w:left w:type="dxa" w:w="180"/>
              <w:bottom w:type="dxa" w:w="120"/>
              <w:right w:type="dxa" w:w="180"/>
            </w:tcMar>
          </w:tcPr>
          <w:p>
            <w:r>
              <w:rPr>
                <w:rFonts w:ascii="Arial" w:cs="Arial" w:eastAsia="Arial" w:hAnsi="Arial"/>
                <w:color w:val="0F1B2D"/>
                <w:sz w:val="20"/>
                <w:szCs w:val="20"/>
              </w:rPr>
              <w:t xml:space="preserve">This guide is for first-time users. Read it before your first upload. It takes about 5 minutes.</w:t>
            </w:r>
          </w:p>
        </w:tc>
      </w:tr>
    </w:tbl>
    <w:p>
      <w:pPr>
        <w:spacing w:after="480" w:before="0"/>
      </w:pPr>
      <w:r>
        <w:t xml:space="preserve"/>
      </w:r>
    </w:p>
    <w:p>
      <w:r>
        <w:br w:type="page"/>
      </w:r>
    </w:p>
    <w:p>
      <w:pPr>
        <w:pStyle w:val="Heading1"/>
        <w:pBdr>
          <w:bottom w:val="single" w:color="C8924C" w:sz="4" w:space="6"/>
        </w:pBdr>
        <w:spacing w:after="120" w:before="400"/>
      </w:pPr>
      <w:r>
        <w:rPr>
          <w:rFonts w:ascii="Arial" w:cs="Arial" w:eastAsia="Arial" w:hAnsi="Arial"/>
          <w:b/>
          <w:bCs/>
          <w:color w:val="0F1B2D"/>
          <w:sz w:val="32"/>
          <w:szCs w:val="32"/>
        </w:rPr>
        <w:t xml:space="preserve">1. What files to prepare</w:t>
      </w:r>
    </w:p>
    <w:p>
      <w:pPr>
        <w:spacing w:after="100" w:before="0"/>
      </w:pPr>
      <w:r>
        <w:rPr>
          <w:rFonts w:ascii="Arial" w:cs="Arial" w:eastAsia="Arial" w:hAnsi="Arial"/>
          <w:color w:val="0F1B2D"/>
          <w:sz w:val="22"/>
          <w:szCs w:val="22"/>
        </w:rPr>
        <w:t xml:space="preserve">BerthAI works directly with exports from your ERP system. Export them as Excel (.xlsx) or CSV — no formatting changes needed. There are four file types. Two are required; the other two significantly improve accuracy.</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000"/>
        <w:gridCol w:w="2126"/>
      </w:tblGrid>
      <w:tr>
        <w:trPr>
          <w:tblHeader/>
        </w:trPr>
        <w:tc>
          <w:tcPr>
            <w:tcW w:type="dxa" w:w="24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File</w:t>
            </w:r>
          </w:p>
        </w:tc>
        <w:tc>
          <w:tcPr>
            <w:tcW w:type="dxa" w:w="15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Required?</w:t>
            </w:r>
          </w:p>
        </w:tc>
        <w:tc>
          <w:tcPr>
            <w:tcW w:type="dxa" w:w="30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What it does</w:t>
            </w:r>
          </w:p>
        </w:tc>
        <w:tc>
          <w:tcPr>
            <w:tcW w:type="dxa" w:w="2126"/>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Without it</w:t>
            </w:r>
          </w:p>
        </w:tc>
      </w:tr>
      <w:tr>
        <w:tc>
          <w:tcPr>
            <w:tcW w:type="dxa" w:w="24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Inventory report</w:t>
            </w:r>
          </w:p>
        </w:tc>
        <w:tc>
          <w:tcPr>
            <w:tcW w:type="dxa" w:w="15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Required</w:t>
            </w:r>
          </w:p>
        </w:tc>
        <w:tc>
          <w:tcPr>
            <w:tcW w:type="dxa" w:w="30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Current stock levels for every item. This is the foundation of every analysis.</w:t>
            </w:r>
          </w:p>
        </w:tc>
        <w:tc>
          <w:tcPr>
            <w:tcW w:type="dxa" w:w="2126"/>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Analysis cannot run.</w:t>
            </w:r>
          </w:p>
        </w:tc>
      </w:tr>
      <w:tr>
        <w:tc>
          <w:tcPr>
            <w:tcW w:type="dxa" w:w="24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Sales report</w:t>
            </w:r>
          </w:p>
        </w:tc>
        <w:tc>
          <w:tcPr>
            <w:tcW w:type="dxa" w:w="15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Required</w:t>
            </w:r>
          </w:p>
        </w:tc>
        <w:tc>
          <w:tcPr>
            <w:tcW w:type="dxa" w:w="30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Sales history per item. Used to calculate how fast each item sells and how long current stock will last.</w:t>
            </w:r>
          </w:p>
        </w:tc>
        <w:tc>
          <w:tcPr>
            <w:tcW w:type="dxa" w:w="2126"/>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Analysis cannot run. Order quantities show as 'Verify with team'. Confidence shows as N/A.</w:t>
            </w:r>
          </w:p>
        </w:tc>
      </w:tr>
      <w:tr>
        <w:tc>
          <w:tcPr>
            <w:tcW w:type="dxa" w:w="24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Purchase orders</w:t>
            </w:r>
          </w:p>
        </w:tc>
        <w:tc>
          <w:tcPr>
            <w:tcW w:type="dxa" w:w="15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Recommended</w:t>
            </w:r>
          </w:p>
        </w:tc>
        <w:tc>
          <w:tcPr>
            <w:tcW w:type="dxa" w:w="30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Links each item to its supplier so BerthAI knows who to order from.</w:t>
            </w:r>
          </w:p>
        </w:tc>
        <w:tc>
          <w:tcPr>
            <w:tcW w:type="dxa" w:w="2126"/>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All items show 'Unknown supplier'. Confidence drops to N/A on every recommendation.</w:t>
            </w:r>
          </w:p>
        </w:tc>
      </w:tr>
      <w:tr>
        <w:tc>
          <w:tcPr>
            <w:tcW w:type="dxa" w:w="24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Supplier list</w:t>
            </w:r>
          </w:p>
        </w:tc>
        <w:tc>
          <w:tcPr>
            <w:tcW w:type="dxa" w:w="15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Recommended</w:t>
            </w:r>
          </w:p>
        </w:tc>
        <w:tc>
          <w:tcPr>
            <w:tcW w:type="dxa" w:w="30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Tells BerthAI whether each supplier is import (long lead time) or local (short lead time).</w:t>
            </w:r>
          </w:p>
        </w:tc>
        <w:tc>
          <w:tcPr>
            <w:tcW w:type="dxa" w:w="2126"/>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All suppliers treated as unknown. Stock runway calculations will be unreliable.</w:t>
            </w:r>
          </w:p>
        </w:tc>
      </w:tr>
    </w:tbl>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E5DFCF" w:sz="0"/>
              <w:left w:val="none" w:color="E5DFCF" w:sz="0"/>
              <w:bottom w:val="none" w:color="E5DFCF" w:sz="0"/>
              <w:right w:val="none" w:color="E5DFCF" w:sz="0"/>
            </w:tcBorders>
            <w:shd w:fill="F3EFE3" w:val="clear"/>
            <w:tcMar>
              <w:top w:type="dxa" w:w="120"/>
              <w:left w:type="dxa" w:w="180"/>
              <w:bottom w:type="dxa" w:w="120"/>
              <w:right w:type="dxa" w:w="180"/>
            </w:tcMar>
          </w:tcPr>
          <w:p>
            <w:r>
              <w:rPr>
                <w:rFonts w:ascii="Arial" w:cs="Arial" w:eastAsia="Arial" w:hAnsi="Arial"/>
                <w:color w:val="0F1B2D"/>
                <w:sz w:val="20"/>
                <w:szCs w:val="20"/>
              </w:rPr>
              <w:t xml:space="preserve">Lead times used: Import suppliers = 16 weeks. Local suppliers = 3 weeks. If a supplier type is not recognised, lead time is marked as unknown and recommendation confidence drops.</w:t>
            </w:r>
          </w:p>
        </w:tc>
      </w:tr>
    </w:tbl>
    <w:p>
      <w:pPr>
        <w:spacing w:after="320" w:before="0"/>
      </w:pPr>
      <w:r>
        <w:t xml:space="preserve"/>
      </w:r>
    </w:p>
    <w:p>
      <w:r>
        <w:br w:type="page"/>
      </w:r>
    </w:p>
    <w:p>
      <w:pPr>
        <w:pStyle w:val="Heading1"/>
        <w:pBdr>
          <w:bottom w:val="single" w:color="C8924C" w:sz="4" w:space="6"/>
        </w:pBdr>
        <w:spacing w:after="120" w:before="400"/>
      </w:pPr>
      <w:r>
        <w:rPr>
          <w:rFonts w:ascii="Arial" w:cs="Arial" w:eastAsia="Arial" w:hAnsi="Arial"/>
          <w:b/>
          <w:bCs/>
          <w:color w:val="0F1B2D"/>
          <w:sz w:val="32"/>
          <w:szCs w:val="32"/>
        </w:rPr>
        <w:t xml:space="preserve">2. Column requirements</w:t>
      </w:r>
    </w:p>
    <w:p>
      <w:pPr>
        <w:spacing w:after="100" w:before="0"/>
      </w:pPr>
      <w:r>
        <w:rPr>
          <w:rFonts w:ascii="Arial" w:cs="Arial" w:eastAsia="Arial" w:hAnsi="Arial"/>
          <w:color w:val="0F1B2D"/>
          <w:sz w:val="22"/>
          <w:szCs w:val="22"/>
        </w:rPr>
        <w:t xml:space="preserve">BerthAI detects columns automatically. As long as your column names are close to the ones listed below, the system will find them. You do not need to rename anything — except for one exception noted below.</w:t>
      </w:r>
    </w:p>
    <w:p>
      <w:pPr>
        <w:spacing w:after="2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1526"/>
      </w:tblGrid>
      <w:tr>
        <w:tc>
          <w:tcPr>
            <w:tcBorders>
              <w:top w:val="none" w:color="E5DFCF" w:sz="0"/>
              <w:left w:val="none" w:color="E5DFCF" w:sz="0"/>
              <w:bottom w:val="none" w:color="E5DFCF" w:sz="0"/>
              <w:right w:val="none" w:color="E5DFCF" w:sz="0"/>
            </w:tcBorders>
            <w:shd w:fill="0F1B2D" w:val="clear"/>
            <w:tcMar>
              <w:top w:type="dxa" w:w="100"/>
              <w:left w:type="dxa" w:w="180"/>
              <w:bottom w:type="dxa" w:w="100"/>
              <w:right w:type="dxa" w:w="80"/>
            </w:tcMar>
          </w:tcPr>
          <w:p>
            <w:r>
              <w:rPr>
                <w:rFonts w:ascii="Arial" w:cs="Arial" w:eastAsia="Arial" w:hAnsi="Arial"/>
                <w:b/>
                <w:bCs/>
                <w:color w:val="FFFFFF"/>
                <w:sz w:val="22"/>
                <w:szCs w:val="22"/>
              </w:rPr>
              <w:t xml:space="preserve">Inventory report</w:t>
            </w:r>
          </w:p>
        </w:tc>
        <w:tc>
          <w:tcPr>
            <w:tcBorders>
              <w:top w:val="none" w:color="E5DFCF" w:sz="0"/>
              <w:left w:val="none" w:color="E5DFCF" w:sz="0"/>
              <w:bottom w:val="none" w:color="E5DFCF" w:sz="0"/>
              <w:right w:val="none" w:color="E5DFCF" w:sz="0"/>
            </w:tcBorders>
            <w:shd w:fill="5C1A1A" w:val="clear"/>
            <w:tcMar>
              <w:top w:type="dxa" w:w="100"/>
              <w:left w:type="dxa" w:w="80"/>
              <w:bottom w:type="dxa" w:w="100"/>
              <w:right w:type="dxa" w:w="180"/>
            </w:tcMar>
            <w:vAlign w:val="center"/>
          </w:tcPr>
          <w:p>
            <w:pPr>
              <w:jc w:val="right"/>
            </w:pPr>
            <w:r>
              <w:rPr>
                <w:rFonts w:ascii="Arial" w:cs="Arial" w:eastAsia="Arial" w:hAnsi="Arial"/>
                <w:b/>
                <w:bCs/>
                <w:color w:val="FFFFFF"/>
                <w:sz w:val="18"/>
                <w:szCs w:val="18"/>
              </w:rPr>
              <w:t xml:space="preserve">REQUIRED</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00"/>
        <w:gridCol w:w="2226"/>
      </w:tblGrid>
      <w:tr>
        <w:trPr>
          <w:tblHeader/>
        </w:trPr>
        <w:tc>
          <w:tcPr>
            <w:tcW w:type="dxa" w:w="22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What BerthAI needs</w:t>
            </w:r>
          </w:p>
        </w:tc>
        <w:tc>
          <w:tcPr>
            <w:tcW w:type="dxa" w:w="32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Column names it recognises</w:t>
            </w:r>
          </w:p>
        </w:tc>
        <w:tc>
          <w:tcPr>
            <w:tcW w:type="dxa" w:w="14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Required?</w:t>
            </w:r>
          </w:p>
        </w:tc>
        <w:tc>
          <w:tcPr>
            <w:tcW w:type="dxa" w:w="2226"/>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Effect if missing</w:t>
            </w:r>
          </w:p>
        </w:tc>
      </w:tr>
      <w:tr>
        <w:tc>
          <w:tcPr>
            <w:tcW w:type="dxa" w:w="22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Item name</w:t>
            </w:r>
          </w:p>
        </w:tc>
        <w:tc>
          <w:tcPr>
            <w:tcW w:type="dxa" w:w="32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Courier New" w:cs="Courier New" w:eastAsia="Courier New" w:hAnsi="Courier New"/>
                <w:color w:val="0F1B2D"/>
                <w:sz w:val="18"/>
                <w:szCs w:val="18"/>
              </w:rPr>
              <w:t xml:space="preserve">description, item_description, inventory_desc,
product_description, item_name, product_name</w:t>
            </w:r>
          </w:p>
        </w:tc>
        <w:tc>
          <w:tcPr>
            <w:tcW w:type="dxa" w:w="14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Required</w:t>
            </w:r>
          </w:p>
        </w:tc>
        <w:tc>
          <w:tcPr>
            <w:tcW w:type="dxa" w:w="2226"/>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Analysis fails.</w:t>
            </w:r>
          </w:p>
        </w:tc>
      </w:tr>
      <w:tr>
        <w:tc>
          <w:tcPr>
            <w:tcW w:type="dxa" w:w="22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Stock quantity</w:t>
            </w:r>
          </w:p>
        </w:tc>
        <w:tc>
          <w:tcPr>
            <w:tcW w:type="dxa" w:w="32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Courier New" w:cs="Courier New" w:eastAsia="Courier New" w:hAnsi="Courier New"/>
                <w:color w:val="0F1B2D"/>
                <w:sz w:val="18"/>
                <w:szCs w:val="18"/>
              </w:rPr>
              <w:t xml:space="preserve">qty_on_hand, qty, quantity, stock_on_hand,
closing_stock, balance, stock_balance</w:t>
            </w:r>
          </w:p>
        </w:tc>
        <w:tc>
          <w:tcPr>
            <w:tcW w:type="dxa" w:w="14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Required</w:t>
            </w:r>
          </w:p>
        </w:tc>
        <w:tc>
          <w:tcPr>
            <w:tcW w:type="dxa" w:w="2226"/>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Analysis fails.</w:t>
            </w:r>
          </w:p>
        </w:tc>
      </w:tr>
      <w:tr>
        <w:tc>
          <w:tcPr>
            <w:tcW w:type="dxa" w:w="22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Category / storage type</w:t>
            </w:r>
          </w:p>
        </w:tc>
        <w:tc>
          <w:tcPr>
            <w:tcW w:type="dxa" w:w="32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Courier New" w:cs="Courier New" w:eastAsia="Courier New" w:hAnsi="Courier New"/>
                <w:color w:val="0F1B2D"/>
                <w:sz w:val="18"/>
                <w:szCs w:val="18"/>
              </w:rPr>
              <w:t xml:space="preserve">category, cat, class, item_category,
product_category, storage_type</w:t>
            </w:r>
          </w:p>
        </w:tc>
        <w:tc>
          <w:tcPr>
            <w:tcW w:type="dxa" w:w="14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Recommended</w:t>
            </w:r>
          </w:p>
        </w:tc>
        <w:tc>
          <w:tcPr>
            <w:tcW w:type="dxa" w:w="2226"/>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Spoilage risk less accurate. Cannot tell chill / frozen / dry.</w:t>
            </w:r>
          </w:p>
        </w:tc>
      </w:tr>
      <w:tr>
        <w:tc>
          <w:tcPr>
            <w:tcW w:type="dxa" w:w="22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Unit of measure</w:t>
            </w:r>
          </w:p>
        </w:tc>
        <w:tc>
          <w:tcPr>
            <w:tcW w:type="dxa" w:w="32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Courier New" w:cs="Courier New" w:eastAsia="Courier New" w:hAnsi="Courier New"/>
                <w:color w:val="0F1B2D"/>
                <w:sz w:val="18"/>
                <w:szCs w:val="18"/>
              </w:rPr>
              <w:t xml:space="preserve">uom, unit_of_measure, unit, uom_code,
base_uom, purchase_uom</w:t>
            </w:r>
          </w:p>
        </w:tc>
        <w:tc>
          <w:tcPr>
            <w:tcW w:type="dxa" w:w="14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Recommended</w:t>
            </w:r>
          </w:p>
        </w:tc>
        <w:tc>
          <w:tcPr>
            <w:tcW w:type="dxa" w:w="2226"/>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Order quantities show as 'units' instead of kg / cartons / pcs.</w:t>
            </w:r>
          </w:p>
        </w:tc>
      </w:tr>
    </w:tbl>
    <w:p>
      <w:pPr>
        <w:spacing w:after="3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1526"/>
      </w:tblGrid>
      <w:tr>
        <w:tc>
          <w:tcPr>
            <w:tcBorders>
              <w:top w:val="none" w:color="E5DFCF" w:sz="0"/>
              <w:left w:val="none" w:color="E5DFCF" w:sz="0"/>
              <w:bottom w:val="none" w:color="E5DFCF" w:sz="0"/>
              <w:right w:val="none" w:color="E5DFCF" w:sz="0"/>
            </w:tcBorders>
            <w:shd w:fill="0F1B2D" w:val="clear"/>
            <w:tcMar>
              <w:top w:type="dxa" w:w="100"/>
              <w:left w:type="dxa" w:w="180"/>
              <w:bottom w:type="dxa" w:w="100"/>
              <w:right w:type="dxa" w:w="80"/>
            </w:tcMar>
          </w:tcPr>
          <w:p>
            <w:r>
              <w:rPr>
                <w:rFonts w:ascii="Arial" w:cs="Arial" w:eastAsia="Arial" w:hAnsi="Arial"/>
                <w:b/>
                <w:bCs/>
                <w:color w:val="FFFFFF"/>
                <w:sz w:val="22"/>
                <w:szCs w:val="22"/>
              </w:rPr>
              <w:t xml:space="preserve">Sales report</w:t>
            </w:r>
          </w:p>
        </w:tc>
        <w:tc>
          <w:tcPr>
            <w:tcBorders>
              <w:top w:val="none" w:color="E5DFCF" w:sz="0"/>
              <w:left w:val="none" w:color="E5DFCF" w:sz="0"/>
              <w:bottom w:val="none" w:color="E5DFCF" w:sz="0"/>
              <w:right w:val="none" w:color="E5DFCF" w:sz="0"/>
            </w:tcBorders>
            <w:shd w:fill="5C1A1A" w:val="clear"/>
            <w:tcMar>
              <w:top w:type="dxa" w:w="100"/>
              <w:left w:type="dxa" w:w="80"/>
              <w:bottom w:type="dxa" w:w="100"/>
              <w:right w:type="dxa" w:w="180"/>
            </w:tcMar>
            <w:vAlign w:val="center"/>
          </w:tcPr>
          <w:p>
            <w:pPr>
              <w:jc w:val="right"/>
            </w:pPr>
            <w:r>
              <w:rPr>
                <w:rFonts w:ascii="Arial" w:cs="Arial" w:eastAsia="Arial" w:hAnsi="Arial"/>
                <w:b/>
                <w:bCs/>
                <w:color w:val="FFFFFF"/>
                <w:sz w:val="18"/>
                <w:szCs w:val="18"/>
              </w:rPr>
              <w:t xml:space="preserve">REQUIRED</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00"/>
        <w:gridCol w:w="2226"/>
      </w:tblGrid>
      <w:tr>
        <w:trPr>
          <w:tblHeader/>
        </w:trPr>
        <w:tc>
          <w:tcPr>
            <w:tcW w:type="dxa" w:w="22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What BerthAI needs</w:t>
            </w:r>
          </w:p>
        </w:tc>
        <w:tc>
          <w:tcPr>
            <w:tcW w:type="dxa" w:w="32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Column names it recognises</w:t>
            </w:r>
          </w:p>
        </w:tc>
        <w:tc>
          <w:tcPr>
            <w:tcW w:type="dxa" w:w="14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Required?</w:t>
            </w:r>
          </w:p>
        </w:tc>
        <w:tc>
          <w:tcPr>
            <w:tcW w:type="dxa" w:w="2226"/>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Effect if missing</w:t>
            </w:r>
          </w:p>
        </w:tc>
      </w:tr>
      <w:tr>
        <w:tc>
          <w:tcPr>
            <w:tcW w:type="dxa" w:w="22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Item name</w:t>
            </w:r>
          </w:p>
        </w:tc>
        <w:tc>
          <w:tcPr>
            <w:tcW w:type="dxa" w:w="32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Same column names as the inventory report — see above.</w:t>
            </w:r>
          </w:p>
        </w:tc>
        <w:tc>
          <w:tcPr>
            <w:tcW w:type="dxa" w:w="14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Required</w:t>
            </w:r>
          </w:p>
        </w:tc>
        <w:tc>
          <w:tcPr>
            <w:tcW w:type="dxa" w:w="2226"/>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Cannot link sales to inventory items.</w:t>
            </w:r>
          </w:p>
        </w:tc>
      </w:tr>
      <w:tr>
        <w:tc>
          <w:tcPr>
            <w:tcW w:type="dxa" w:w="22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Date</w:t>
            </w:r>
          </w:p>
        </w:tc>
        <w:tc>
          <w:tcPr>
            <w:tcW w:type="dxa" w:w="32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Courier New" w:cs="Courier New" w:eastAsia="Courier New" w:hAnsi="Courier New"/>
                <w:color w:val="0F1B2D"/>
                <w:sz w:val="18"/>
                <w:szCs w:val="18"/>
              </w:rPr>
              <w:t xml:space="preserve">date   ← must be named exactly this</w:t>
            </w:r>
          </w:p>
        </w:tc>
        <w:tc>
          <w:tcPr>
            <w:tcW w:type="dxa" w:w="14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Required</w:t>
            </w:r>
          </w:p>
        </w:tc>
        <w:tc>
          <w:tcPr>
            <w:tcW w:type="dxa" w:w="2226"/>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System cannot count months of data. Velocity may be wrong.</w:t>
            </w:r>
          </w:p>
        </w:tc>
      </w:tr>
      <w:tr>
        <w:tc>
          <w:tcPr>
            <w:tcW w:type="dxa" w:w="22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Quantity sold</w:t>
            </w:r>
          </w:p>
        </w:tc>
        <w:tc>
          <w:tcPr>
            <w:tcW w:type="dxa" w:w="32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Courier New" w:cs="Courier New" w:eastAsia="Courier New" w:hAnsi="Courier New"/>
                <w:color w:val="0F1B2D"/>
                <w:sz w:val="18"/>
                <w:szCs w:val="18"/>
              </w:rPr>
              <w:t xml:space="preserve">billing_qty, qty, quantity, billing_quantity</w:t>
            </w:r>
          </w:p>
        </w:tc>
        <w:tc>
          <w:tcPr>
            <w:tcW w:type="dxa" w:w="14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Required</w:t>
            </w:r>
          </w:p>
        </w:tc>
        <w:tc>
          <w:tcPr>
            <w:tcW w:type="dxa" w:w="2226"/>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Cannot calculate average sales or suggested order quantities.</w:t>
            </w:r>
          </w:p>
        </w:tc>
      </w:tr>
      <w:tr>
        <w:tc>
          <w:tcPr>
            <w:tcW w:type="dxa" w:w="22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Revenue / amount</w:t>
            </w:r>
          </w:p>
        </w:tc>
        <w:tc>
          <w:tcPr>
            <w:tcW w:type="dxa" w:w="32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Courier New" w:cs="Courier New" w:eastAsia="Courier New" w:hAnsi="Courier New"/>
                <w:color w:val="0F1B2D"/>
                <w:sz w:val="18"/>
                <w:szCs w:val="18"/>
              </w:rPr>
              <w:t xml:space="preserve">net_amount, total_amount, billing_amount,
sales_value, revenue, ext_price</w:t>
            </w:r>
          </w:p>
        </w:tc>
        <w:tc>
          <w:tcPr>
            <w:tcW w:type="dxa" w:w="14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Recommended</w:t>
            </w:r>
          </w:p>
        </w:tc>
        <w:tc>
          <w:tcPr>
            <w:tcW w:type="dxa" w:w="2226"/>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Cannot rank items by revenue when analysing top SKUs.</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E5DFCF" w:sz="0"/>
              <w:left w:val="none" w:color="E5DFCF" w:sz="0"/>
              <w:bottom w:val="none" w:color="E5DFCF" w:sz="0"/>
              <w:right w:val="none" w:color="E5DFCF" w:sz="0"/>
            </w:tcBorders>
            <w:shd w:fill="F3EFE3" w:val="clear"/>
            <w:tcMar>
              <w:top w:type="dxa" w:w="120"/>
              <w:left w:type="dxa" w:w="180"/>
              <w:bottom w:type="dxa" w:w="120"/>
              <w:right w:type="dxa" w:w="180"/>
            </w:tcMar>
          </w:tcPr>
          <w:p>
            <w:r>
              <w:rPr>
                <w:rFonts w:ascii="Arial" w:cs="Arial" w:eastAsia="Arial" w:hAnsi="Arial"/>
                <w:color w:val="0F1B2D"/>
                <w:sz w:val="20"/>
                <w:szCs w:val="20"/>
              </w:rPr>
              <w:t xml:space="preserve">⚠️  The date column must be named exactly 'date' (lowercase). If your ERP exports it as 'invoice_date', 'txn_date', or anything else, rename the column before uploading.</w:t>
            </w:r>
          </w:p>
        </w:tc>
      </w:tr>
    </w:tbl>
    <w:p>
      <w:pPr>
        <w:spacing w:after="3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1526"/>
      </w:tblGrid>
      <w:tr>
        <w:tc>
          <w:tcPr>
            <w:tcBorders>
              <w:top w:val="none" w:color="E5DFCF" w:sz="0"/>
              <w:left w:val="none" w:color="E5DFCF" w:sz="0"/>
              <w:bottom w:val="none" w:color="E5DFCF" w:sz="0"/>
              <w:right w:val="none" w:color="E5DFCF" w:sz="0"/>
            </w:tcBorders>
            <w:shd w:fill="0F1B2D" w:val="clear"/>
            <w:tcMar>
              <w:top w:type="dxa" w:w="100"/>
              <w:left w:type="dxa" w:w="180"/>
              <w:bottom w:type="dxa" w:w="100"/>
              <w:right w:type="dxa" w:w="80"/>
            </w:tcMar>
          </w:tcPr>
          <w:p>
            <w:r>
              <w:rPr>
                <w:rFonts w:ascii="Arial" w:cs="Arial" w:eastAsia="Arial" w:hAnsi="Arial"/>
                <w:b/>
                <w:bCs/>
                <w:color w:val="FFFFFF"/>
                <w:sz w:val="22"/>
                <w:szCs w:val="22"/>
              </w:rPr>
              <w:t xml:space="preserve">Purchase orders</w:t>
            </w:r>
          </w:p>
        </w:tc>
        <w:tc>
          <w:tcPr>
            <w:tcBorders>
              <w:top w:val="none" w:color="E5DFCF" w:sz="0"/>
              <w:left w:val="none" w:color="E5DFCF" w:sz="0"/>
              <w:bottom w:val="none" w:color="E5DFCF" w:sz="0"/>
              <w:right w:val="none" w:color="E5DFCF" w:sz="0"/>
            </w:tcBorders>
            <w:shd w:fill="4A3800" w:val="clear"/>
            <w:tcMar>
              <w:top w:type="dxa" w:w="100"/>
              <w:left w:type="dxa" w:w="80"/>
              <w:bottom w:type="dxa" w:w="100"/>
              <w:right w:type="dxa" w:w="180"/>
            </w:tcMar>
            <w:vAlign w:val="center"/>
          </w:tcPr>
          <w:p>
            <w:pPr>
              <w:jc w:val="right"/>
            </w:pPr>
            <w:r>
              <w:rPr>
                <w:rFonts w:ascii="Arial" w:cs="Arial" w:eastAsia="Arial" w:hAnsi="Arial"/>
                <w:b/>
                <w:bCs/>
                <w:color w:val="FFFFFF"/>
                <w:sz w:val="18"/>
                <w:szCs w:val="18"/>
              </w:rPr>
              <w:t xml:space="preserve">RECOMMENDED</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400"/>
        <w:gridCol w:w="1626"/>
      </w:tblGrid>
      <w:tr>
        <w:trPr>
          <w:tblHeader/>
        </w:trPr>
        <w:tc>
          <w:tcPr>
            <w:tcW w:type="dxa" w:w="22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What BerthAI needs</w:t>
            </w:r>
          </w:p>
        </w:tc>
        <w:tc>
          <w:tcPr>
            <w:tcW w:type="dxa" w:w="38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Column names it recognises</w:t>
            </w:r>
          </w:p>
        </w:tc>
        <w:tc>
          <w:tcPr>
            <w:tcW w:type="dxa" w:w="14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Required?</w:t>
            </w:r>
          </w:p>
        </w:tc>
        <w:tc>
          <w:tcPr>
            <w:tcW w:type="dxa" w:w="1626"/>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Effect if missing</w:t>
            </w:r>
          </w:p>
        </w:tc>
      </w:tr>
      <w:tr>
        <w:tc>
          <w:tcPr>
            <w:tcW w:type="dxa" w:w="22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Item name</w:t>
            </w:r>
          </w:p>
        </w:tc>
        <w:tc>
          <w:tcPr>
            <w:tcW w:type="dxa" w:w="38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Same column names as the inventory report — see above.</w:t>
            </w:r>
          </w:p>
        </w:tc>
        <w:tc>
          <w:tcPr>
            <w:tcW w:type="dxa" w:w="14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Required</w:t>
            </w:r>
          </w:p>
        </w:tc>
        <w:tc>
          <w:tcPr>
            <w:tcW w:type="dxa" w:w="1626"/>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Cannot link items to suppliers.</w:t>
            </w:r>
          </w:p>
        </w:tc>
      </w:tr>
      <w:tr>
        <w:tc>
          <w:tcPr>
            <w:tcW w:type="dxa" w:w="22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Supplier name</w:t>
            </w:r>
          </w:p>
        </w:tc>
        <w:tc>
          <w:tcPr>
            <w:tcW w:type="dxa" w:w="38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Any column containing 'supplier' and 'name', or just 'supplier'</w:t>
            </w:r>
          </w:p>
        </w:tc>
        <w:tc>
          <w:tcPr>
            <w:tcW w:type="dxa" w:w="14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Required</w:t>
            </w:r>
          </w:p>
        </w:tc>
        <w:tc>
          <w:tcPr>
            <w:tcW w:type="dxa" w:w="1626"/>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All items show 'Unknown supplier'.</w:t>
            </w:r>
          </w:p>
        </w:tc>
      </w:tr>
    </w:tbl>
    <w:p>
      <w:pPr>
        <w:spacing w:after="3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0"/>
        <w:gridCol w:w="1526"/>
      </w:tblGrid>
      <w:tr>
        <w:tc>
          <w:tcPr>
            <w:tcBorders>
              <w:top w:val="none" w:color="E5DFCF" w:sz="0"/>
              <w:left w:val="none" w:color="E5DFCF" w:sz="0"/>
              <w:bottom w:val="none" w:color="E5DFCF" w:sz="0"/>
              <w:right w:val="none" w:color="E5DFCF" w:sz="0"/>
            </w:tcBorders>
            <w:shd w:fill="0F1B2D" w:val="clear"/>
            <w:tcMar>
              <w:top w:type="dxa" w:w="100"/>
              <w:left w:type="dxa" w:w="180"/>
              <w:bottom w:type="dxa" w:w="100"/>
              <w:right w:type="dxa" w:w="80"/>
            </w:tcMar>
          </w:tcPr>
          <w:p>
            <w:r>
              <w:rPr>
                <w:rFonts w:ascii="Arial" w:cs="Arial" w:eastAsia="Arial" w:hAnsi="Arial"/>
                <w:b/>
                <w:bCs/>
                <w:color w:val="FFFFFF"/>
                <w:sz w:val="22"/>
                <w:szCs w:val="22"/>
              </w:rPr>
              <w:t xml:space="preserve">Supplier list</w:t>
            </w:r>
          </w:p>
        </w:tc>
        <w:tc>
          <w:tcPr>
            <w:tcBorders>
              <w:top w:val="none" w:color="E5DFCF" w:sz="0"/>
              <w:left w:val="none" w:color="E5DFCF" w:sz="0"/>
              <w:bottom w:val="none" w:color="E5DFCF" w:sz="0"/>
              <w:right w:val="none" w:color="E5DFCF" w:sz="0"/>
            </w:tcBorders>
            <w:shd w:fill="4A3800" w:val="clear"/>
            <w:tcMar>
              <w:top w:type="dxa" w:w="100"/>
              <w:left w:type="dxa" w:w="80"/>
              <w:bottom w:type="dxa" w:w="100"/>
              <w:right w:type="dxa" w:w="180"/>
            </w:tcMar>
            <w:vAlign w:val="center"/>
          </w:tcPr>
          <w:p>
            <w:pPr>
              <w:jc w:val="right"/>
            </w:pPr>
            <w:r>
              <w:rPr>
                <w:rFonts w:ascii="Arial" w:cs="Arial" w:eastAsia="Arial" w:hAnsi="Arial"/>
                <w:b/>
                <w:bCs/>
                <w:color w:val="FFFFFF"/>
                <w:sz w:val="18"/>
                <w:szCs w:val="18"/>
              </w:rPr>
              <w:t xml:space="preserve">RECOMMENDED</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400"/>
        <w:gridCol w:w="1626"/>
      </w:tblGrid>
      <w:tr>
        <w:trPr>
          <w:tblHeader/>
        </w:trPr>
        <w:tc>
          <w:tcPr>
            <w:tcW w:type="dxa" w:w="22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What BerthAI needs</w:t>
            </w:r>
          </w:p>
        </w:tc>
        <w:tc>
          <w:tcPr>
            <w:tcW w:type="dxa" w:w="38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Column names it recognises</w:t>
            </w:r>
          </w:p>
        </w:tc>
        <w:tc>
          <w:tcPr>
            <w:tcW w:type="dxa" w:w="1400"/>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Required?</w:t>
            </w:r>
          </w:p>
        </w:tc>
        <w:tc>
          <w:tcPr>
            <w:tcW w:type="dxa" w:w="1626"/>
            <w:tcBorders>
              <w:top w:val="single" w:color="E5DFCF" w:sz="1"/>
              <w:left w:val="single" w:color="E5DFCF" w:sz="1"/>
              <w:bottom w:val="single" w:color="E5DFCF" w:sz="1"/>
              <w:right w:val="single" w:color="E5DFCF" w:sz="1"/>
            </w:tcBorders>
            <w:shd w:fill="0F1B2D" w:val="clear"/>
            <w:tcMar>
              <w:top w:type="dxa" w:w="80"/>
              <w:left w:type="dxa" w:w="140"/>
              <w:bottom w:type="dxa" w:w="80"/>
              <w:right w:type="dxa" w:w="140"/>
            </w:tcMar>
          </w:tcPr>
          <w:p>
            <w:r>
              <w:rPr>
                <w:rFonts w:ascii="Arial" w:cs="Arial" w:eastAsia="Arial" w:hAnsi="Arial"/>
                <w:b/>
                <w:bCs/>
                <w:color w:val="FFFFFF"/>
                <w:sz w:val="19"/>
                <w:szCs w:val="19"/>
              </w:rPr>
              <w:t xml:space="preserve">Effect if missing</w:t>
            </w:r>
          </w:p>
        </w:tc>
      </w:tr>
      <w:tr>
        <w:tc>
          <w:tcPr>
            <w:tcW w:type="dxa" w:w="22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Supplier name</w:t>
            </w:r>
          </w:p>
        </w:tc>
        <w:tc>
          <w:tcPr>
            <w:tcW w:type="dxa" w:w="38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Any column containing 'name' or 'supplier'</w:t>
            </w:r>
          </w:p>
        </w:tc>
        <w:tc>
          <w:tcPr>
            <w:tcW w:type="dxa" w:w="1400"/>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Required</w:t>
            </w:r>
          </w:p>
        </w:tc>
        <w:tc>
          <w:tcPr>
            <w:tcW w:type="dxa" w:w="1626"/>
            <w:tcBorders>
              <w:top w:val="single" w:color="E5DFCF" w:sz="1"/>
              <w:left w:val="single" w:color="E5DFCF" w:sz="1"/>
              <w:bottom w:val="single" w:color="E5DFCF" w:sz="1"/>
              <w:right w:val="single" w:color="E5DFCF" w:sz="1"/>
            </w:tcBorders>
            <w:shd w:fill="FFFFFF" w:val="clear"/>
            <w:tcMar>
              <w:top w:type="dxa" w:w="80"/>
              <w:left w:type="dxa" w:w="140"/>
              <w:bottom w:type="dxa" w:w="80"/>
              <w:right w:type="dxa" w:w="140"/>
            </w:tcMar>
            <w:vAlign w:val="top"/>
          </w:tcPr>
          <w:p>
            <w:r>
              <w:rPr>
                <w:rFonts w:ascii="Arial" w:cs="Arial" w:eastAsia="Arial" w:hAnsi="Arial"/>
                <w:color w:val="0F1B2D"/>
                <w:sz w:val="20"/>
                <w:szCs w:val="20"/>
              </w:rPr>
              <w:t xml:space="preserve">Cannot match suppliers to lead times.</w:t>
            </w:r>
          </w:p>
        </w:tc>
      </w:tr>
      <w:tr>
        <w:tc>
          <w:tcPr>
            <w:tcW w:type="dxa" w:w="22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Supplier type</w:t>
            </w:r>
          </w:p>
        </w:tc>
        <w:tc>
          <w:tcPr>
            <w:tcW w:type="dxa" w:w="38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Any column containing 'type', 'category', or 'class'.
Value must contain the word 'import' or 'local'.</w:t>
            </w:r>
          </w:p>
        </w:tc>
        <w:tc>
          <w:tcPr>
            <w:tcW w:type="dxa" w:w="1400"/>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Required</w:t>
            </w:r>
          </w:p>
        </w:tc>
        <w:tc>
          <w:tcPr>
            <w:tcW w:type="dxa" w:w="1626"/>
            <w:tcBorders>
              <w:top w:val="single" w:color="E5DFCF" w:sz="1"/>
              <w:left w:val="single" w:color="E5DFCF" w:sz="1"/>
              <w:bottom w:val="single" w:color="E5DFCF" w:sz="1"/>
              <w:right w:val="single" w:color="E5DFCF" w:sz="1"/>
            </w:tcBorders>
            <w:shd w:fill="FAF8F3" w:val="clear"/>
            <w:tcMar>
              <w:top w:type="dxa" w:w="80"/>
              <w:left w:type="dxa" w:w="140"/>
              <w:bottom w:type="dxa" w:w="80"/>
              <w:right w:type="dxa" w:w="140"/>
            </w:tcMar>
            <w:vAlign w:val="top"/>
          </w:tcPr>
          <w:p>
            <w:r>
              <w:rPr>
                <w:rFonts w:ascii="Arial" w:cs="Arial" w:eastAsia="Arial" w:hAnsi="Arial"/>
                <w:color w:val="0F1B2D"/>
                <w:sz w:val="20"/>
                <w:szCs w:val="20"/>
              </w:rPr>
              <w:t xml:space="preserve">All suppliers treated as unknown. Lead times will be wrong.</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E5DFCF" w:sz="0"/>
              <w:left w:val="none" w:color="E5DFCF" w:sz="0"/>
              <w:bottom w:val="none" w:color="E5DFCF" w:sz="0"/>
              <w:right w:val="none" w:color="E5DFCF" w:sz="0"/>
            </w:tcBorders>
            <w:shd w:fill="F3EFE3" w:val="clear"/>
            <w:tcMar>
              <w:top w:type="dxa" w:w="120"/>
              <w:left w:type="dxa" w:w="180"/>
              <w:bottom w:type="dxa" w:w="120"/>
              <w:right w:type="dxa" w:w="180"/>
            </w:tcMar>
          </w:tcPr>
          <w:p>
            <w:r>
              <w:rPr>
                <w:rFonts w:ascii="Arial" w:cs="Arial" w:eastAsia="Arial" w:hAnsi="Arial"/>
                <w:color w:val="0F1B2D"/>
                <w:sz w:val="20"/>
                <w:szCs w:val="20"/>
              </w:rPr>
              <w:t xml:space="preserve">'Import supplier', 'Local vendor', and 'Imported goods' all work. Words like 'overseas' or 'domestic' are not recognised — the value must contain 'import' or 'local'.</w:t>
            </w:r>
          </w:p>
        </w:tc>
      </w:tr>
    </w:tbl>
    <w:p>
      <w:pPr>
        <w:spacing w:after="320" w:before="0"/>
      </w:pPr>
      <w:r>
        <w:t xml:space="preserve"/>
      </w:r>
    </w:p>
    <w:p>
      <w:r>
        <w:br w:type="page"/>
      </w:r>
    </w:p>
    <w:p>
      <w:pPr>
        <w:pStyle w:val="Heading1"/>
        <w:pBdr>
          <w:bottom w:val="single" w:color="C8924C" w:sz="4" w:space="6"/>
        </w:pBdr>
        <w:spacing w:after="120" w:before="400"/>
      </w:pPr>
      <w:r>
        <w:rPr>
          <w:rFonts w:ascii="Arial" w:cs="Arial" w:eastAsia="Arial" w:hAnsi="Arial"/>
          <w:b/>
          <w:bCs/>
          <w:color w:val="0F1B2D"/>
          <w:sz w:val="32"/>
          <w:szCs w:val="32"/>
        </w:rPr>
        <w:t xml:space="preserve">3. The upload process</w:t>
      </w:r>
    </w:p>
    <w:p>
      <w:pPr>
        <w:spacing w:after="100" w:before="0"/>
      </w:pPr>
      <w:r>
        <w:rPr>
          <w:rFonts w:ascii="Arial" w:cs="Arial" w:eastAsia="Arial" w:hAnsi="Arial"/>
          <w:color w:val="0F1B2D"/>
          <w:sz w:val="22"/>
          <w:szCs w:val="22"/>
        </w:rPr>
        <w:t xml:space="preserve">Once your files are ready, the full process takes under 10 minutes from upload to purchase order.</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Borders>
              <w:top w:val="none" w:color="E5DFCF" w:sz="0"/>
              <w:left w:val="none" w:color="E5DFCF" w:sz="0"/>
              <w:bottom w:val="none" w:color="E5DFCF" w:sz="0"/>
              <w:right w:val="none" w:color="E5DFCF" w:sz="0"/>
            </w:tcBorders>
            <w:shd w:fill="FAF8F3" w:val="clear"/>
            <w:tcMar>
              <w:top w:type="dxa" w:w="120"/>
              <w:left w:type="dxa" w:w="140"/>
              <w:bottom w:type="dxa" w:w="120"/>
              <w:right w:type="dxa" w:w="140"/>
            </w:tcMar>
            <w:vAlign w:val="top"/>
          </w:tcPr>
          <w:p>
            <w:pPr>
              <w:jc w:val="center"/>
            </w:pPr>
            <w:r>
              <w:rPr>
                <w:rFonts w:ascii="Arial" w:cs="Arial" w:eastAsia="Arial" w:hAnsi="Arial"/>
                <w:b/>
                <w:bCs/>
                <w:color w:val="C8924C"/>
                <w:sz w:val="28"/>
                <w:szCs w:val="28"/>
              </w:rPr>
              <w:t xml:space="preserve">1</w:t>
            </w:r>
          </w:p>
        </w:tc>
        <w:tc>
          <w:tcPr>
            <w:tcBorders>
              <w:top w:val="none" w:color="E5DFCF" w:sz="0"/>
              <w:left w:val="none" w:color="E5DFCF" w:sz="0"/>
              <w:bottom w:val="none" w:color="E5DFCF" w:sz="0"/>
              <w:right w:val="none" w:color="E5DFCF" w:sz="0"/>
            </w:tcBorders>
            <w:shd w:fill="FAF8F3" w:val="clear"/>
            <w:tcMar>
              <w:top w:type="dxa" w:w="120"/>
              <w:left w:type="dxa" w:w="140"/>
              <w:bottom w:type="dxa" w:w="120"/>
              <w:right w:type="dxa" w:w="140"/>
            </w:tcMar>
          </w:tcPr>
          <w:p>
            <w:r>
              <w:rPr>
                <w:rFonts w:ascii="Arial" w:cs="Arial" w:eastAsia="Arial" w:hAnsi="Arial"/>
                <w:b/>
                <w:bCs/>
                <w:color w:val="0F1B2D"/>
                <w:sz w:val="22"/>
                <w:szCs w:val="22"/>
              </w:rPr>
              <w:t xml:space="preserve">Upload your files</w:t>
            </w:r>
          </w:p>
          <w:p>
            <w:pPr>
              <w:spacing w:before="40"/>
            </w:pPr>
            <w:r>
              <w:rPr>
                <w:rFonts w:ascii="Arial" w:cs="Arial" w:eastAsia="Arial" w:hAnsi="Arial"/>
                <w:color w:val="6B7280"/>
                <w:sz w:val="20"/>
                <w:szCs w:val="20"/>
              </w:rPr>
              <w:t xml:space="preserve">Go to New Analysis and upload each file into its matching slot. Excel (.xlsx) and CSV are both supported. Files must be under 100 MB each.</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Borders>
              <w:top w:val="none" w:color="E5DFCF" w:sz="0"/>
              <w:left w:val="none" w:color="E5DFCF" w:sz="0"/>
              <w:bottom w:val="none" w:color="E5DFCF" w:sz="0"/>
              <w:right w:val="none" w:color="E5DFCF" w:sz="0"/>
            </w:tcBorders>
            <w:shd w:fill="FAF8F3" w:val="clear"/>
            <w:tcMar>
              <w:top w:type="dxa" w:w="120"/>
              <w:left w:type="dxa" w:w="140"/>
              <w:bottom w:type="dxa" w:w="120"/>
              <w:right w:type="dxa" w:w="140"/>
            </w:tcMar>
            <w:vAlign w:val="top"/>
          </w:tcPr>
          <w:p>
            <w:pPr>
              <w:jc w:val="center"/>
            </w:pPr>
            <w:r>
              <w:rPr>
                <w:rFonts w:ascii="Arial" w:cs="Arial" w:eastAsia="Arial" w:hAnsi="Arial"/>
                <w:b/>
                <w:bCs/>
                <w:color w:val="C8924C"/>
                <w:sz w:val="28"/>
                <w:szCs w:val="28"/>
              </w:rPr>
              <w:t xml:space="preserve">2</w:t>
            </w:r>
          </w:p>
        </w:tc>
        <w:tc>
          <w:tcPr>
            <w:tcBorders>
              <w:top w:val="none" w:color="E5DFCF" w:sz="0"/>
              <w:left w:val="none" w:color="E5DFCF" w:sz="0"/>
              <w:bottom w:val="none" w:color="E5DFCF" w:sz="0"/>
              <w:right w:val="none" w:color="E5DFCF" w:sz="0"/>
            </w:tcBorders>
            <w:shd w:fill="FAF8F3" w:val="clear"/>
            <w:tcMar>
              <w:top w:type="dxa" w:w="120"/>
              <w:left w:type="dxa" w:w="140"/>
              <w:bottom w:type="dxa" w:w="120"/>
              <w:right w:type="dxa" w:w="140"/>
            </w:tcMar>
          </w:tcPr>
          <w:p>
            <w:r>
              <w:rPr>
                <w:rFonts w:ascii="Arial" w:cs="Arial" w:eastAsia="Arial" w:hAnsi="Arial"/>
                <w:b/>
                <w:bCs/>
                <w:color w:val="0F1B2D"/>
                <w:sz w:val="22"/>
                <w:szCs w:val="22"/>
              </w:rPr>
              <w:t xml:space="preserve">Review duplicate item names</w:t>
            </w:r>
          </w:p>
          <w:p>
            <w:pPr>
              <w:spacing w:before="40"/>
            </w:pPr>
            <w:r>
              <w:rPr>
                <w:rFonts w:ascii="Arial" w:cs="Arial" w:eastAsia="Arial" w:hAnsi="Arial"/>
                <w:color w:val="6B7280"/>
                <w:sz w:val="20"/>
                <w:szCs w:val="20"/>
              </w:rPr>
              <w:t xml:space="preserve">BerthAI scans item names across all your files and flags names that refer to the same product but are written differently. Confirm the groupings before analysis runs so that sales data links correctly to inventory.</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Borders>
              <w:top w:val="none" w:color="E5DFCF" w:sz="0"/>
              <w:left w:val="none" w:color="E5DFCF" w:sz="0"/>
              <w:bottom w:val="none" w:color="E5DFCF" w:sz="0"/>
              <w:right w:val="none" w:color="E5DFCF" w:sz="0"/>
            </w:tcBorders>
            <w:shd w:fill="FAF8F3" w:val="clear"/>
            <w:tcMar>
              <w:top w:type="dxa" w:w="120"/>
              <w:left w:type="dxa" w:w="140"/>
              <w:bottom w:type="dxa" w:w="120"/>
              <w:right w:type="dxa" w:w="140"/>
            </w:tcMar>
            <w:vAlign w:val="top"/>
          </w:tcPr>
          <w:p>
            <w:pPr>
              <w:jc w:val="center"/>
            </w:pPr>
            <w:r>
              <w:rPr>
                <w:rFonts w:ascii="Arial" w:cs="Arial" w:eastAsia="Arial" w:hAnsi="Arial"/>
                <w:b/>
                <w:bCs/>
                <w:color w:val="C8924C"/>
                <w:sz w:val="28"/>
                <w:szCs w:val="28"/>
              </w:rPr>
              <w:t xml:space="preserve">3</w:t>
            </w:r>
          </w:p>
        </w:tc>
        <w:tc>
          <w:tcPr>
            <w:tcBorders>
              <w:top w:val="none" w:color="E5DFCF" w:sz="0"/>
              <w:left w:val="none" w:color="E5DFCF" w:sz="0"/>
              <w:bottom w:val="none" w:color="E5DFCF" w:sz="0"/>
              <w:right w:val="none" w:color="E5DFCF" w:sz="0"/>
            </w:tcBorders>
            <w:shd w:fill="FAF8F3" w:val="clear"/>
            <w:tcMar>
              <w:top w:type="dxa" w:w="120"/>
              <w:left w:type="dxa" w:w="140"/>
              <w:bottom w:type="dxa" w:w="120"/>
              <w:right w:type="dxa" w:w="140"/>
            </w:tcMar>
          </w:tcPr>
          <w:p>
            <w:r>
              <w:rPr>
                <w:rFonts w:ascii="Arial" w:cs="Arial" w:eastAsia="Arial" w:hAnsi="Arial"/>
                <w:b/>
                <w:bCs/>
                <w:color w:val="0F1B2D"/>
                <w:sz w:val="22"/>
                <w:szCs w:val="22"/>
              </w:rPr>
              <w:t xml:space="preserve">Add context (optional)</w:t>
            </w:r>
          </w:p>
          <w:p>
            <w:pPr>
              <w:spacing w:before="40"/>
            </w:pPr>
            <w:r>
              <w:rPr>
                <w:rFonts w:ascii="Arial" w:cs="Arial" w:eastAsia="Arial" w:hAnsi="Arial"/>
                <w:color w:val="6B7280"/>
                <w:sz w:val="20"/>
                <w:szCs w:val="20"/>
              </w:rPr>
              <w:t xml:space="preserve">Tell BerthAI about anything that affects your purchasing decisions — delayed suppliers, a large upcoming order, items you are discontinuing. This step is optional but improves recommendations.</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Borders>
              <w:top w:val="none" w:color="E5DFCF" w:sz="0"/>
              <w:left w:val="none" w:color="E5DFCF" w:sz="0"/>
              <w:bottom w:val="none" w:color="E5DFCF" w:sz="0"/>
              <w:right w:val="none" w:color="E5DFCF" w:sz="0"/>
            </w:tcBorders>
            <w:shd w:fill="FAF8F3" w:val="clear"/>
            <w:tcMar>
              <w:top w:type="dxa" w:w="120"/>
              <w:left w:type="dxa" w:w="140"/>
              <w:bottom w:type="dxa" w:w="120"/>
              <w:right w:type="dxa" w:w="140"/>
            </w:tcMar>
            <w:vAlign w:val="top"/>
          </w:tcPr>
          <w:p>
            <w:pPr>
              <w:jc w:val="center"/>
            </w:pPr>
            <w:r>
              <w:rPr>
                <w:rFonts w:ascii="Arial" w:cs="Arial" w:eastAsia="Arial" w:hAnsi="Arial"/>
                <w:b/>
                <w:bCs/>
                <w:color w:val="C8924C"/>
                <w:sz w:val="28"/>
                <w:szCs w:val="28"/>
              </w:rPr>
              <w:t xml:space="preserve">4</w:t>
            </w:r>
          </w:p>
        </w:tc>
        <w:tc>
          <w:tcPr>
            <w:tcBorders>
              <w:top w:val="none" w:color="E5DFCF" w:sz="0"/>
              <w:left w:val="none" w:color="E5DFCF" w:sz="0"/>
              <w:bottom w:val="none" w:color="E5DFCF" w:sz="0"/>
              <w:right w:val="none" w:color="E5DFCF" w:sz="0"/>
            </w:tcBorders>
            <w:shd w:fill="FAF8F3" w:val="clear"/>
            <w:tcMar>
              <w:top w:type="dxa" w:w="120"/>
              <w:left w:type="dxa" w:w="140"/>
              <w:bottom w:type="dxa" w:w="120"/>
              <w:right w:type="dxa" w:w="140"/>
            </w:tcMar>
          </w:tcPr>
          <w:p>
            <w:r>
              <w:rPr>
                <w:rFonts w:ascii="Arial" w:cs="Arial" w:eastAsia="Arial" w:hAnsi="Arial"/>
                <w:b/>
                <w:bCs/>
                <w:color w:val="0F1B2D"/>
                <w:sz w:val="22"/>
                <w:szCs w:val="22"/>
              </w:rPr>
              <w:t xml:space="preserve">Wait for the analysis</w:t>
            </w:r>
          </w:p>
          <w:p>
            <w:pPr>
              <w:spacing w:before="40"/>
            </w:pPr>
            <w:r>
              <w:rPr>
                <w:rFonts w:ascii="Arial" w:cs="Arial" w:eastAsia="Arial" w:hAnsi="Arial"/>
                <w:color w:val="6B7280"/>
                <w:sz w:val="20"/>
                <w:szCs w:val="20"/>
              </w:rPr>
              <w:t xml:space="preserve">Three AI agents run in parallel: inventory health, reorder quantities, and risk assessment. This usually takes 2 to 5 minutes depending on the size of your data.</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Borders>
              <w:top w:val="none" w:color="E5DFCF" w:sz="0"/>
              <w:left w:val="none" w:color="E5DFCF" w:sz="0"/>
              <w:bottom w:val="none" w:color="E5DFCF" w:sz="0"/>
              <w:right w:val="none" w:color="E5DFCF" w:sz="0"/>
            </w:tcBorders>
            <w:shd w:fill="FAF8F3" w:val="clear"/>
            <w:tcMar>
              <w:top w:type="dxa" w:w="120"/>
              <w:left w:type="dxa" w:w="140"/>
              <w:bottom w:type="dxa" w:w="120"/>
              <w:right w:type="dxa" w:w="140"/>
            </w:tcMar>
            <w:vAlign w:val="top"/>
          </w:tcPr>
          <w:p>
            <w:pPr>
              <w:jc w:val="center"/>
            </w:pPr>
            <w:r>
              <w:rPr>
                <w:rFonts w:ascii="Arial" w:cs="Arial" w:eastAsia="Arial" w:hAnsi="Arial"/>
                <w:b/>
                <w:bCs/>
                <w:color w:val="C8924C"/>
                <w:sz w:val="28"/>
                <w:szCs w:val="28"/>
              </w:rPr>
              <w:t xml:space="preserve">5</w:t>
            </w:r>
          </w:p>
        </w:tc>
        <w:tc>
          <w:tcPr>
            <w:tcBorders>
              <w:top w:val="none" w:color="E5DFCF" w:sz="0"/>
              <w:left w:val="none" w:color="E5DFCF" w:sz="0"/>
              <w:bottom w:val="none" w:color="E5DFCF" w:sz="0"/>
              <w:right w:val="none" w:color="E5DFCF" w:sz="0"/>
            </w:tcBorders>
            <w:shd w:fill="FAF8F3" w:val="clear"/>
            <w:tcMar>
              <w:top w:type="dxa" w:w="120"/>
              <w:left w:type="dxa" w:w="140"/>
              <w:bottom w:type="dxa" w:w="120"/>
              <w:right w:type="dxa" w:w="140"/>
            </w:tcMar>
          </w:tcPr>
          <w:p>
            <w:r>
              <w:rPr>
                <w:rFonts w:ascii="Arial" w:cs="Arial" w:eastAsia="Arial" w:hAnsi="Arial"/>
                <w:b/>
                <w:bCs/>
                <w:color w:val="0F1B2D"/>
                <w:sz w:val="22"/>
                <w:szCs w:val="22"/>
              </w:rPr>
              <w:t xml:space="preserve">Review and approve</w:t>
            </w:r>
          </w:p>
          <w:p>
            <w:pPr>
              <w:spacing w:before="40"/>
            </w:pPr>
            <w:r>
              <w:rPr>
                <w:rFonts w:ascii="Arial" w:cs="Arial" w:eastAsia="Arial" w:hAnsi="Arial"/>
                <w:color w:val="6B7280"/>
                <w:sz w:val="20"/>
                <w:szCs w:val="20"/>
              </w:rPr>
              <w:t xml:space="preserve">Each recommendation shows the item, suggested order quantity, supplier, stock runway, and a plain-English reason. Approve what you want to action, add notes, then print or download your purchase order.</w:t>
            </w:r>
          </w:p>
        </w:tc>
      </w:tr>
    </w:tbl>
    <w:p>
      <w:pPr>
        <w:spacing w:after="400" w:before="0"/>
      </w:pPr>
      <w:r>
        <w:t xml:space="preserve"/>
      </w:r>
    </w:p>
    <w:p>
      <w:pPr>
        <w:pStyle w:val="Heading1"/>
        <w:pBdr>
          <w:bottom w:val="single" w:color="C8924C" w:sz="4" w:space="6"/>
        </w:pBdr>
        <w:spacing w:after="120" w:before="400"/>
      </w:pPr>
      <w:r>
        <w:rPr>
          <w:rFonts w:ascii="Arial" w:cs="Arial" w:eastAsia="Arial" w:hAnsi="Arial"/>
          <w:b/>
          <w:bCs/>
          <w:color w:val="0F1B2D"/>
          <w:sz w:val="32"/>
          <w:szCs w:val="32"/>
        </w:rPr>
        <w:t xml:space="preserve">4. Tips for best results</w:t>
      </w:r>
    </w:p>
    <w:p>
      <w:pPr>
        <w:spacing w:after="40" w:before="140"/>
      </w:pPr>
      <w:r>
        <w:rPr>
          <w:rFonts w:ascii="Arial" w:cs="Arial" w:eastAsia="Arial" w:hAnsi="Arial"/>
          <w:b/>
          <w:bCs/>
          <w:color w:val="0F1B2D"/>
          <w:sz w:val="20"/>
          <w:szCs w:val="20"/>
        </w:rPr>
        <w:t xml:space="preserve">→  Use at least 6 months of sales data</w:t>
      </w:r>
    </w:p>
    <w:p>
      <w:pPr>
        <w:spacing w:after="0" w:before="0"/>
        <w:ind w:left="300"/>
      </w:pPr>
      <w:r>
        <w:rPr>
          <w:rFonts w:ascii="Arial" w:cs="Arial" w:eastAsia="Arial" w:hAnsi="Arial"/>
          <w:color w:val="6B7280"/>
          <w:sz w:val="20"/>
          <w:szCs w:val="20"/>
        </w:rPr>
        <w:t xml:space="preserve">The system calculates monthly averages from your sales history. Fewer than 3 months of data can make fast-moving items appear slower than they are.</w:t>
      </w:r>
    </w:p>
    <w:p>
      <w:pPr>
        <w:spacing w:after="40" w:before="140"/>
      </w:pPr>
      <w:r>
        <w:rPr>
          <w:rFonts w:ascii="Arial" w:cs="Arial" w:eastAsia="Arial" w:hAnsi="Arial"/>
          <w:b/>
          <w:bCs/>
          <w:color w:val="0F1B2D"/>
          <w:sz w:val="20"/>
          <w:szCs w:val="20"/>
        </w:rPr>
        <w:t xml:space="preserve">→  The date column must be named 'date'</w:t>
      </w:r>
    </w:p>
    <w:p>
      <w:pPr>
        <w:spacing w:after="0" w:before="0"/>
        <w:ind w:left="300"/>
      </w:pPr>
      <w:r>
        <w:rPr>
          <w:rFonts w:ascii="Arial" w:cs="Arial" w:eastAsia="Arial" w:hAnsi="Arial"/>
          <w:color w:val="6B7280"/>
          <w:sz w:val="20"/>
          <w:szCs w:val="20"/>
        </w:rPr>
        <w:t xml:space="preserve">This is the one strict naming requirement. If your sales file exports the date under a different column name, rename it to 'date' before uploading.</w:t>
      </w:r>
    </w:p>
    <w:p>
      <w:pPr>
        <w:spacing w:after="40" w:before="140"/>
      </w:pPr>
      <w:r>
        <w:rPr>
          <w:rFonts w:ascii="Arial" w:cs="Arial" w:eastAsia="Arial" w:hAnsi="Arial"/>
          <w:b/>
          <w:bCs/>
          <w:color w:val="0F1B2D"/>
          <w:sz w:val="20"/>
          <w:szCs w:val="20"/>
        </w:rPr>
        <w:t xml:space="preserve">→  Item names must be consistent across files</w:t>
      </w:r>
    </w:p>
    <w:p>
      <w:pPr>
        <w:spacing w:after="0" w:before="0"/>
        <w:ind w:left="300"/>
      </w:pPr>
      <w:r>
        <w:rPr>
          <w:rFonts w:ascii="Arial" w:cs="Arial" w:eastAsia="Arial" w:hAnsi="Arial"/>
          <w:color w:val="6B7280"/>
          <w:sz w:val="20"/>
          <w:szCs w:val="20"/>
        </w:rPr>
        <w:t xml:space="preserve">If inventory says 'White Rice 5kg' and sales says 'RICE WHITE 5KG', BerthAI will try to match them in the deduplication step. The closer the names, the more reliable the match.</w:t>
      </w:r>
    </w:p>
    <w:p>
      <w:pPr>
        <w:spacing w:after="40" w:before="140"/>
      </w:pPr>
      <w:r>
        <w:rPr>
          <w:rFonts w:ascii="Arial" w:cs="Arial" w:eastAsia="Arial" w:hAnsi="Arial"/>
          <w:b/>
          <w:bCs/>
          <w:color w:val="0F1B2D"/>
          <w:sz w:val="20"/>
          <w:szCs w:val="20"/>
        </w:rPr>
        <w:t xml:space="preserve">→  Supplier type must say 'import' or 'local'</w:t>
      </w:r>
    </w:p>
    <w:p>
      <w:pPr>
        <w:spacing w:after="0" w:before="0"/>
        <w:ind w:left="300"/>
      </w:pPr>
      <w:r>
        <w:rPr>
          <w:rFonts w:ascii="Arial" w:cs="Arial" w:eastAsia="Arial" w:hAnsi="Arial"/>
          <w:color w:val="6B7280"/>
          <w:sz w:val="20"/>
          <w:szCs w:val="20"/>
        </w:rPr>
        <w:t xml:space="preserve">The system does a simple text match. 'Import supplier' works. 'Overseas' does not. Check your supplier list before uploading.</w:t>
      </w:r>
    </w:p>
    <w:p>
      <w:pPr>
        <w:spacing w:after="40" w:before="140"/>
      </w:pPr>
      <w:r>
        <w:rPr>
          <w:rFonts w:ascii="Arial" w:cs="Arial" w:eastAsia="Arial" w:hAnsi="Arial"/>
          <w:b/>
          <w:bCs/>
          <w:color w:val="0F1B2D"/>
          <w:sz w:val="20"/>
          <w:szCs w:val="20"/>
        </w:rPr>
        <w:t xml:space="preserve">→  Upload the most recent purchase order export</w:t>
      </w:r>
    </w:p>
    <w:p>
      <w:pPr>
        <w:spacing w:after="0" w:before="0"/>
        <w:ind w:left="300"/>
      </w:pPr>
      <w:r>
        <w:rPr>
          <w:rFonts w:ascii="Arial" w:cs="Arial" w:eastAsia="Arial" w:hAnsi="Arial"/>
          <w:color w:val="6B7280"/>
          <w:sz w:val="20"/>
          <w:szCs w:val="20"/>
        </w:rPr>
        <w:t xml:space="preserve">BerthAI uses the most recent PO per item to identify the current supplier. An old PO file may map items to suppliers you no longer use.</w:t>
      </w:r>
    </w:p>
    <w:p>
      <w:pPr>
        <w:spacing w:after="40" w:before="140"/>
      </w:pPr>
      <w:r>
        <w:rPr>
          <w:rFonts w:ascii="Arial" w:cs="Arial" w:eastAsia="Arial" w:hAnsi="Arial"/>
          <w:b/>
          <w:bCs/>
          <w:color w:val="0F1B2D"/>
          <w:sz w:val="20"/>
          <w:szCs w:val="20"/>
        </w:rPr>
        <w:t xml:space="preserve">→  N/A confidence means the supplier is unknown</w:t>
      </w:r>
    </w:p>
    <w:p>
      <w:pPr>
        <w:spacing w:after="0" w:before="0"/>
        <w:ind w:left="300"/>
      </w:pPr>
      <w:r>
        <w:rPr>
          <w:rFonts w:ascii="Arial" w:cs="Arial" w:eastAsia="Arial" w:hAnsi="Arial"/>
          <w:color w:val="6B7280"/>
          <w:sz w:val="20"/>
          <w:szCs w:val="20"/>
        </w:rPr>
        <w:t xml:space="preserve">If a recommendation shows N/A confidence, BerthAI could not find that item's supplier in your purchase orders file. Upload a PO file to resolve this.</w:t>
      </w:r>
    </w:p>
    <w:p>
      <w:pPr>
        <w:spacing w:after="600" w:before="0"/>
      </w:pPr>
      <w:r>
        <w:t xml:space="preserve"/>
      </w:r>
    </w:p>
    <w:p>
      <w:pPr>
        <w:pBdr>
          <w:top w:val="single" w:color="E5DFCF" w:sz="2" w:space="8"/>
        </w:pBdr>
        <w:spacing w:after="0" w:before="200"/>
        <w:jc w:val="center"/>
      </w:pPr>
      <w:r>
        <w:rPr>
          <w:rFonts w:ascii="Arial" w:cs="Arial" w:eastAsia="Arial" w:hAnsi="Arial"/>
          <w:i/>
          <w:iCs/>
          <w:color w:val="6B7280"/>
          <w:sz w:val="19"/>
          <w:szCs w:val="19"/>
        </w:rPr>
        <w:t xml:space="preserve">Questions? Contact your BerthAI administrator or reach us at the contact form inside the platform.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DFCF" w:sz="2" w:space="6"/>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DFCF" w:sz="2" w:space="6"/>
      </w:pBdr>
    </w:pPr>
    <w:r>
      <w:rPr>
        <w:rFonts w:ascii="Arial" w:cs="Arial" w:eastAsia="Arial" w:hAnsi="Arial"/>
        <w:b/>
        <w:bCs/>
        <w:color w:val="C8924C"/>
        <w:sz w:val="20"/>
        <w:szCs w:val="20"/>
      </w:rPr>
      <w:t xml:space="preserve">BerthAI</w:t>
    </w:r>
    <w:r>
      <w:rPr>
        <w:rFonts w:ascii="Arial" w:cs="Arial" w:eastAsia="Arial" w:hAnsi="Arial"/>
        <w:color w:val="6B7280"/>
        <w:sz w:val="20"/>
        <w:szCs w:val="20"/>
      </w:rPr>
      <w:t xml:space="preserv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F1B2D"/>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0F1B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2026-05-23T08:35:07.047Z</dcterms:created>
  <dcterms:modified xsi:type="dcterms:W3CDTF">2026-05-23T08:35:07.047Z</dcterms:modified>
</cp:coreProperties>
</file>

<file path=docProps/custom.xml><?xml version="1.0" encoding="utf-8"?>
<Properties xmlns="http://schemas.openxmlformats.org/officeDocument/2006/custom-properties" xmlns:vt="http://schemas.openxmlformats.org/officeDocument/2006/docPropsVTypes"/>
</file>