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rPr>
          <w:color w:val="21306A"/>
        </w:rPr>
        <w:t xml:space="preserve">Plataforma de gestão do Clube Broto</w:t>
      </w:r>
    </w:p>
    <w:p>
      <w:pPr>
        <w:spacing w:after="120"/>
      </w:pPr>
      <w:r>
        <w:rPr>
          <w:color w:val="4A5170"/>
          <w:sz w:val="24"/>
          <w:szCs w:val="24"/>
        </w:rPr>
        <w:t xml:space="preserve">Registro de melhorias em produção — Pull Requests #1 a #28 (agosto/2026)</w:t>
      </w:r>
    </w:p>
    <w:p>
      <w:pPr>
        <w:spacing w:after="100" w:before="60"/>
      </w:pPr>
      <w:r>
        <w:rPr>
          <w:color w:val="6B7288"/>
          <w:sz w:val="17"/>
          <w:szCs w:val="17"/>
        </w:rPr>
        <w:t xml:space="preserve">Entregas feitas depois da versão 1 (Ondas 1–14) já em produção. Cobre da edição de contrato vigente (PR #1) ao Id externo (Minutrade) editável que fecha o vínculo da telemetria com a oferta (PR #28). Elaborado pela TI Broto com apoio do Claude Code.</w:t>
      </w:r>
    </w:p>
    <w:p>
      <w:pPr>
        <w:pBdr>
          <w:top w:val="single" w:color="D7DDF5" w:sz="6"/>
          <w:bottom w:val="single" w:color="D7DDF5" w:sz="6"/>
          <w:left w:val="single" w:color="D7DDF5" w:sz="6"/>
          <w:right w:val="single" w:color="D7DDF5" w:sz="6"/>
        </w:pBdr>
        <w:shd w:fill="F6F8FF" w:val="clear"/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Como ler.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A plataforma está em produção; mesclar na main dispara o deploy. Cada PR passou pelo CI completo (typecheck, lint, testes de unidade, integração com banco, build, e2e + acessibilidade AAA, responsividade 380px e imagem de contêiner) antes de entrar. Não há onda nova nem regra inventada — as mudanças nasceram de uso real e homologação e reaproveitam entidades, regras e componentes existentes.</w:t>
      </w:r>
    </w:p>
    <w:p>
      <w:pPr>
        <w:pStyle w:val="Heading1"/>
        <w:pBdr>
          <w:bottom w:val="single" w:color="465EFF" w:sz="12" w:space="4"/>
        </w:pBdr>
        <w:spacing w:after="100" w:before="280"/>
      </w:pPr>
      <w:r>
        <w:rPr>
          <w:color w:val="21306A"/>
        </w:rPr>
        <w:t xml:space="preserve">Panorama dos 28 PRs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EE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21306A"/>
                <w:sz w:val="18"/>
                <w:szCs w:val="18"/>
              </w:rPr>
              <w:t xml:space="preserve">PR</w:t>
            </w:r>
          </w:p>
        </w:tc>
        <w:tc>
          <w:tcPr>
            <w:tcW w:type="pct" w:w="63%"/>
            <w:shd w:fill="EE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21306A"/>
                <w:sz w:val="18"/>
                <w:szCs w:val="18"/>
              </w:rPr>
              <w:t xml:space="preserve">Título</w:t>
            </w:r>
          </w:p>
        </w:tc>
        <w:tc>
          <w:tcPr>
            <w:tcW w:type="pct" w:w="18%"/>
            <w:shd w:fill="EE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21306A"/>
                <w:sz w:val="18"/>
                <w:szCs w:val="18"/>
              </w:rPr>
              <w:t xml:space="preserve">Tipo</w:t>
            </w:r>
          </w:p>
        </w:tc>
        <w:tc>
          <w:tcPr>
            <w:tcW w:type="pct" w:w="12%"/>
            <w:shd w:fill="EE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21306A"/>
                <w:sz w:val="18"/>
                <w:szCs w:val="18"/>
              </w:rPr>
              <w:t xml:space="preserve">Migração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Aba Comercial: editar contrato vigente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Funcionalidade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Unificação de produção + infraestrutura AWS 1.5.0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Infra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Anexo do contrato em PDF, editar contato, correção do funil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Funcionalidade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Buildspec versionado + migrations automáticas no deploy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Infra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Acabamento da ficha do aliado (anexo, botões, edição, layout)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UI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Recusa de tamanho no cliente só para documento (correção)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Correção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Scouting: reavaliar + histórico, pendências filtram, quarentena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Funcionalidade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Scouting: recomendação na gaveta + “não se aplica”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Funcionalidade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Busca global do cabeçalho passa a funcionar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Funcionalidade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Painel de atividades (comentários, pendências, @menção)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Funcionalidade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Ficha: painel no laptop, gaveta em linha, abas em âncora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UI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Painel abre sozinho só em tela grande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UI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Importação de catálogo por planilha: soluções e ofertas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Funcionalidade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Menção por @ inline no painel de atividades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UI/UX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Correção: caixa de @menção fechada sobrepondo a dica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Correção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Documentação das melhorias (este documento)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Documentação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Correção: upload da planilha de ofertas travado em “Enviando…”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Correção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Dashboard/listas/funil atualizam; “Corrigir” não fica em branco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Correção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Pendência de “Cupom de desconto” volta a ser corrigível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Correção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“Recompensa”: pendência de preço aponta o campo preenchido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Correção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#21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Correção de deploy: imagem de operação puxa do espelho AWS (429)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Infra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#22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Código/regras do cupom deixa de ser obrigatório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Ajuste de regra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#23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Tipo “% de desconto” usa campo de percentual (substitui o preço)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Funcionalidade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#24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Imagem do card vira item opcional para publicar (RN09)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Ajuste de regra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#25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Natureza decide %/valor; renomeia “Benefício” e “Cupom”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Funcionalidade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Régua proporcional; descrição curta opcional; rótulos de natureza na T3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Ajuste de regra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#27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“Baixar modelo (.csv)” na importação de telemetria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Funcionalidade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1F2A"/>
                <w:sz w:val="18"/>
                <w:szCs w:val="18"/>
              </w:rPr>
              <w:t xml:space="preserve">#28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Id externo (Minutrade) editável (vínculo da telemetria)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Funcionalidade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B1F2A"/>
                <w:sz w:val="18"/>
                <w:szCs w:val="18"/>
              </w:rPr>
              <w:t xml:space="preserve">Não</w:t>
            </w:r>
          </w:p>
        </w:tc>
      </w:tr>
    </w:tbl>
    <w:p>
      <w:pPr>
        <w:spacing w:after="100" w:before="60"/>
      </w:pPr>
      <w:r>
        <w:rPr>
          <w:color w:val="6B7288"/>
          <w:sz w:val="17"/>
          <w:szCs w:val="17"/>
        </w:rPr>
        <w:t xml:space="preserve">Migrações de banco no período: cinco (PR #3, #8, #10, #13 e #23), todas aditivas — nenhuma remove coluna nem exige valor sobre linha existente, respeitando a base já povoada.</w:t>
      </w:r>
    </w:p>
    <w:p>
      <w:pPr>
        <w:pStyle w:val="Heading1"/>
        <w:pageBreakBefore/>
        <w:pBdr>
          <w:bottom w:val="single" w:color="465EFF" w:sz="12" w:space="4"/>
        </w:pBdr>
        <w:spacing w:after="100" w:before="280"/>
      </w:pPr>
      <w:r>
        <w:rPr>
          <w:color w:val="21306A"/>
        </w:rPr>
        <w:t xml:space="preserve">Parte 1 — Fundação e acabamento (PR #1 a #15)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Primeira rodada pós-produção: acabamento e correções nascidos de uso real e da homologação com a base povoada.</w:t>
      </w:r>
    </w:p>
    <w:p>
      <w:pPr>
        <w:pStyle w:val="Heading2"/>
        <w:spacing w:after="60" w:before="200"/>
      </w:pPr>
      <w:r>
        <w:rPr>
          <w:color w:val="2B3557"/>
        </w:rPr>
        <w:t xml:space="preserve">1. Aba Comercial — editar o contrato vigente (PR #1)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ficha do aliado passou a permitir editar o contrato vigente (comissão, vigência, dados comerciais) sem recriar o registro. Toda alteração é auditada e respeita as permissões por papel.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8"/>
          <w:sz w:val="17"/>
          <w:szCs w:val="17"/>
        </w:rPr>
        <w:t xml:space="preserve">Edição do contrato vigente na aba Comercial.</w:t>
      </w:r>
    </w:p>
    <w:p>
      <w:pPr>
        <w:pStyle w:val="Heading2"/>
        <w:spacing w:after="60" w:before="200"/>
      </w:pPr>
      <w:r>
        <w:rPr>
          <w:color w:val="2B3557"/>
        </w:rPr>
        <w:t xml:space="preserve">2. Produção unificada e esteira de deploy (PR #2 e #4)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Consolidação da aplicação com a infraestrutura AWS (1.5.0) e o buildspec versionado, com migrations aplicadas automaticamente no deploy — base para que cada merge na main chegue à produção de forma repetível.</w:t>
      </w:r>
    </w:p>
    <w:p>
      <w:pPr>
        <w:pStyle w:val="Heading2"/>
        <w:spacing w:after="60" w:before="200"/>
      </w:pPr>
      <w:r>
        <w:rPr>
          <w:color w:val="2B3557"/>
        </w:rPr>
        <w:t xml:space="preserve">3. Anexo do contrato em PDF, editar contato e correção do funil (PR #3)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contrato ganhou anexo em PDF (validado por tipo real e tamanho, guardado pela plataforma e auditado), os contatos ficaram editáveis e uma correção no funil entrou junto.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8"/>
          <w:sz w:val="17"/>
          <w:szCs w:val="17"/>
        </w:rPr>
        <w:t xml:space="preserve">Contatos do aliado com edição ao lado de remover.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8"/>
          <w:sz w:val="17"/>
          <w:szCs w:val="17"/>
        </w:rPr>
        <w:t xml:space="preserve">Anexo do contrato — o link não quebra o layout e abre o PDF.</w:t>
      </w:r>
    </w:p>
    <w:p>
      <w:pPr>
        <w:pStyle w:val="Heading2"/>
        <w:spacing w:after="60" w:before="200"/>
      </w:pPr>
      <w:r>
        <w:rPr>
          <w:color w:val="2B3557"/>
        </w:rPr>
        <w:t xml:space="preserve">4. Acabamento da ficha e recusa de tamanho (PR #5 e #6)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Acabamento visual/UX (anexo clicável, botões centralizados, “Cancelar” na edição, correção do vão à direita) e a recusa de tamanho no cliente voltou a valer apenas para documento.</w:t>
      </w:r>
    </w:p>
    <w:p>
      <w:pPr>
        <w:pStyle w:val="Heading2"/>
        <w:spacing w:after="60" w:before="200"/>
      </w:pPr>
      <w:r>
        <w:rPr>
          <w:color w:val="2B3557"/>
        </w:rPr>
        <w:t xml:space="preserve">5. Scouting: reavaliar, “não se aplica” e quarentena (PR #7 e #8)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Reavaliar um prospect mantendo o histórico, pendências que filtram a lista, recomendação na gaveta e a opção “não se aplica” na avaliação (excluída do score).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8"/>
          <w:sz w:val="17"/>
          <w:szCs w:val="17"/>
        </w:rPr>
        <w:t xml:space="preserve">Scouting: reavaliação com histórico preservado.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8"/>
          <w:sz w:val="17"/>
          <w:szCs w:val="17"/>
        </w:rPr>
        <w:t xml:space="preserve">Radar de prospecção com quarentena visível.</w:t>
      </w:r>
    </w:p>
    <w:p>
      <w:pPr>
        <w:pStyle w:val="Heading2"/>
        <w:spacing w:after="60" w:before="200"/>
      </w:pPr>
      <w:r>
        <w:rPr>
          <w:color w:val="2B3557"/>
        </w:rPr>
        <w:t xml:space="preserve">6. Busca global do cabeçalho (PR #9)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busca do topo (aliados, soluções e ofertas) passou a funcionar, com resultados agrupados e navegação direta.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8"/>
          <w:sz w:val="17"/>
          <w:szCs w:val="17"/>
        </w:rPr>
        <w:t xml:space="preserve">Busca global do cabeçalho.</w:t>
      </w:r>
    </w:p>
    <w:p>
      <w:pPr>
        <w:pStyle w:val="Heading2"/>
        <w:spacing w:after="60" w:before="200"/>
      </w:pPr>
      <w:r>
        <w:rPr>
          <w:color w:val="2B3557"/>
        </w:rPr>
        <w:t xml:space="preserve">7. Painel de atividades da ficha do aliado (PR #10, #11, #12, #14, #15)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Um painel reúne comentários, pendências e menções por @ — com permissões, auditoria e o “sino”. A responsividade foi ajustada e a menção virou autocomplete inline: digitar @ abre a lista de quem mencionar (teclado e mouse), com acessibilidade AAA.</w:t>
      </w:r>
    </w:p>
    <w:p>
      <w:pPr>
        <w:pStyle w:val="Heading2"/>
        <w:spacing w:after="60" w:before="200"/>
      </w:pPr>
      <w:r>
        <w:rPr>
          <w:color w:val="2B3557"/>
        </w:rPr>
        <w:t xml:space="preserve">8. Importação de catálogo por planilha (PR #13)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Importação self-service de soluções e ofertas por planilha: baixa-se o modelo, sobe-se o arquivo e uma tela de conferência mostra o que será criado/atualizado antes de efetivar.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8"/>
          <w:sz w:val="17"/>
          <w:szCs w:val="17"/>
        </w:rPr>
        <w:t xml:space="preserve">Importação de ofertas — modelo e conferência (tela atual).</w:t>
      </w:r>
    </w:p>
    <w:p>
      <w:pPr>
        <w:pStyle w:val="Heading1"/>
        <w:pageBreakBefore/>
        <w:pBdr>
          <w:bottom w:val="single" w:color="465EFF" w:sz="12" w:space="4"/>
        </w:pBdr>
        <w:spacing w:after="100" w:before="280"/>
      </w:pPr>
      <w:r>
        <w:rPr>
          <w:color w:val="21306A"/>
        </w:rPr>
        <w:t xml:space="preserve">Parte 2 — Ofertas, importação e ajustes recentes (PR #16 a #25)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Segunda rodada, focada no ciclo de ofertas (cadastro, importação, publicação) e num conserto de deploy. Nasceu do uso real logo após a importação entrar no ar.</w:t>
      </w:r>
    </w:p>
    <w:p>
      <w:pPr>
        <w:pStyle w:val="Heading2"/>
        <w:spacing w:after="60" w:before="200"/>
      </w:pPr>
      <w:r>
        <w:rPr>
          <w:color w:val="2B3557"/>
        </w:rPr>
        <w:t xml:space="preserve">#16 — Documentação das melhorias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Primeira versão deste registro (PR #1 a #15). Este documento é a versão atualizada, estendida até a PR #28 e ilustrada com telas reais.</w:t>
      </w:r>
    </w:p>
    <w:p>
      <w:pPr>
        <w:pStyle w:val="Heading2"/>
        <w:spacing w:after="60" w:before="200"/>
      </w:pPr>
      <w:r>
        <w:rPr>
          <w:color w:val="2B3557"/>
        </w:rPr>
        <w:t xml:space="preserve">#17 — Upload da planilha de ofertas travado em “Enviando…”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Sintoma: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a tela ficava presa em “Enviando…”. </w:t>
      </w:r>
      <w:r>
        <w:rPr>
          <w:b/>
          <w:bCs/>
          <w:i w:val="false"/>
          <w:iCs w:val="false"/>
          <w:sz w:val="22"/>
          <w:szCs w:val="22"/>
        </w:rPr>
        <w:t xml:space="preserve">Causa: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um padrão do Next.js em que o redirecionamento para a mesma rota, com resposta grande, era descartado pelo navegador. </w:t>
      </w:r>
      <w:r>
        <w:rPr>
          <w:b/>
          <w:bCs/>
          <w:i w:val="false"/>
          <w:iCs w:val="false"/>
          <w:sz w:val="22"/>
          <w:szCs w:val="22"/>
        </w:rPr>
        <w:t xml:space="preserve">Correção: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a conferência passou a abrir em rota própria (uma URL por lote).</w:t>
      </w:r>
    </w:p>
    <w:p>
      <w:pPr>
        <w:pStyle w:val="Heading2"/>
        <w:spacing w:after="60" w:before="200"/>
      </w:pPr>
      <w:r>
        <w:rPr>
          <w:color w:val="2B3557"/>
        </w:rPr>
        <w:t xml:space="preserve">#18 — Números atualizam após importar; “Corrigir” não fica em branco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Sintoma: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Dashboard, listas e funil não refletiam a nova quantidade, e “Corrigir” abria tela em branco. </w:t>
      </w:r>
      <w:r>
        <w:rPr>
          <w:b/>
          <w:bCs/>
          <w:i w:val="false"/>
          <w:iCs w:val="false"/>
          <w:sz w:val="22"/>
          <w:szCs w:val="22"/>
        </w:rPr>
        <w:t xml:space="preserve">Correção: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a efetivação passou a revalidar os caches (números atualizam sem recarregar) e a correção de célula deixou de usar o redirecionamento problemático.</w:t>
      </w:r>
    </w:p>
    <w:p>
      <w:pPr>
        <w:pStyle w:val="Heading2"/>
        <w:spacing w:after="60" w:before="200"/>
      </w:pPr>
      <w:r>
        <w:rPr>
          <w:color w:val="2B3557"/>
        </w:rPr>
        <w:t xml:space="preserve">#19 — Pendência de “Cupom de desconto” volta a ser corrigível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Causa: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a mensagem apontava a coluna “Natureza” (lista fechada). </w:t>
      </w:r>
      <w:r>
        <w:rPr>
          <w:b/>
          <w:bCs/>
          <w:i w:val="false"/>
          <w:iCs w:val="false"/>
          <w:sz w:val="22"/>
          <w:szCs w:val="22"/>
        </w:rPr>
        <w:t xml:space="preserve">Correção: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cada pendência passou a apontar a coluna que se edita para resolvê-la (código/regras, modalidade etc.).</w:t>
      </w:r>
    </w:p>
    <w:p>
      <w:pPr>
        <w:pStyle w:val="Heading2"/>
        <w:spacing w:after="60" w:before="200"/>
      </w:pPr>
      <w:r>
        <w:rPr>
          <w:color w:val="2B3557"/>
        </w:rPr>
        <w:t xml:space="preserve">#20 — “Recompensa”: pendência de preço aponta o campo preenchido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Correção: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a pendência de “preços devem ficar zerados” passou a apontar o campo efetivamente preenchido (Preço De ou Preço Por), dando saída à correção.</w:t>
      </w:r>
    </w:p>
    <w:p>
      <w:pPr>
        <w:pStyle w:val="Heading2"/>
        <w:spacing w:after="60" w:before="200"/>
      </w:pPr>
      <w:r>
        <w:rPr>
          <w:color w:val="2B3557"/>
        </w:rPr>
        <w:t xml:space="preserve">#21 — Correção de deploy: imagem de operação puxa do espelho AWS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Causa: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a esteira construía uma 2ª imagem puxando do Docker Hub, que recusava com “429 — muitas requisições”, interrompendo o deploy. </w:t>
      </w:r>
      <w:r>
        <w:rPr>
          <w:b/>
          <w:bCs/>
          <w:i w:val="false"/>
          <w:iCs w:val="false"/>
          <w:sz w:val="22"/>
          <w:szCs w:val="22"/>
        </w:rPr>
        <w:t xml:space="preserve">Correção: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essa imagem passou a puxar do espelho oficial da AWS (sem limite por IP), como a principal já fazia.</w:t>
      </w:r>
    </w:p>
    <w:p>
      <w:pPr>
        <w:pStyle w:val="Heading2"/>
        <w:spacing w:after="60" w:before="200"/>
      </w:pPr>
      <w:r>
        <w:rPr>
          <w:color w:val="2B3557"/>
        </w:rPr>
        <w:t xml:space="preserve">#22 — Código/regras do cupom deixa de ser obrigatório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Decisão de negócio: o campo pode não existir na carga e nunca deve travar o cadastro nem a importação. O cupom continua exigindo desconto definido; só o código virou opcional.</w:t>
      </w:r>
    </w:p>
    <w:p>
      <w:pPr>
        <w:pStyle w:val="Heading2"/>
        <w:spacing w:after="60" w:before="200"/>
      </w:pPr>
      <w:r>
        <w:rPr>
          <w:color w:val="2B3557"/>
        </w:rPr>
        <w:t xml:space="preserve">#23 — Tipo “% de desconto” usa campo de percentual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Decisão de negócio: quando o desconto é percentual, não faz sentido pedir valor em reais. A oferta ganhou um campo de percentual (inteiro 1–100) que substitui o preço de/por — some o preço, fica só o “%”. O card exibe “X% de desconto”. Migração aditiva; ofertas antigas intactas.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8"/>
          <w:sz w:val="17"/>
          <w:szCs w:val="17"/>
        </w:rPr>
        <w:t xml:space="preserve">Cadastro de oferta com desconto percentual e a prévia do card com “15% de desconto”.</w:t>
      </w:r>
    </w:p>
    <w:p>
      <w:pPr>
        <w:pStyle w:val="Heading2"/>
        <w:spacing w:after="60" w:before="200"/>
      </w:pPr>
      <w:r>
        <w:rPr>
          <w:color w:val="2B3557"/>
        </w:rPr>
        <w:t xml:space="preserve">#24 — Imagem do card vira opcional para publicar (RN09)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Decisão de negócio: a imagem deixou de ser exigida para publicar (a descrição curta continua obrigatória). Na régua ela aparece como “(opcional)” e não bloqueia — uma solução completa nos demais itens chega a 100% mesmo sem imagem. O campo de envio continua disponível.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8"/>
          <w:sz w:val="17"/>
          <w:szCs w:val="17"/>
        </w:rPr>
        <w:t xml:space="preserve">Régua de completude do card (RN09) em 100% com “Imagem do card (opcional)”.</w:t>
      </w:r>
    </w:p>
    <w:p>
      <w:pPr>
        <w:pStyle w:val="Heading2"/>
        <w:spacing w:after="60" w:before="200"/>
      </w:pPr>
      <w:r>
        <w:rPr>
          <w:color w:val="2B3557"/>
        </w:rPr>
        <w:t xml:space="preserve">#25 — Natureza decide %/valor; novos nomes para as naturezas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Decisão de negócio: o cadastro passou a decidir entre percentual e valor pela natureza, e duas naturezas foram renomeadas conforme o canal de checkout: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Benefício (Checkout Broto): </w:t>
      </w:r>
      <w:r>
        <w:rPr>
          <w:b w:val="false"/>
          <w:bCs w:val="false"/>
          <w:sz w:val="22"/>
          <w:szCs w:val="22"/>
        </w:rPr>
        <w:t xml:space="preserve">“Valor fixo” e “Condição especial”, com campos de preço. “% de desconto” fica desabilitado aqui.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Desconto (Checkout Externo): </w:t>
      </w:r>
      <w:r>
        <w:rPr>
          <w:b w:val="false"/>
          <w:bCs w:val="false"/>
          <w:sz w:val="22"/>
          <w:szCs w:val="22"/>
        </w:rPr>
        <w:t xml:space="preserve">apenas “% de desconto”, com o campo de percentual. Sem preço e sem código na tela.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Recompensa: </w:t>
      </w:r>
      <w:r>
        <w:rPr>
          <w:b w:val="false"/>
          <w:bCs w:val="false"/>
          <w:sz w:val="22"/>
          <w:szCs w:val="22"/>
        </w:rPr>
        <w:t xml:space="preserve">inalterada (gratuita).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Os renomes são só de exibição (o dado interno não muda, sem migração). A importação aceita os nomes novos e os antigos. Ofertas legadas com combinação inválida são toleradas; na edição, o tipo começa vazio, forçando a nova escolha.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8"/>
          <w:sz w:val="17"/>
          <w:szCs w:val="17"/>
        </w:rPr>
        <w:t xml:space="preserve">Natureza “Benefício (Checkout Broto)”: tipos de valor com os campos de preço.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8"/>
          <w:sz w:val="17"/>
          <w:szCs w:val="17"/>
        </w:rPr>
        <w:t xml:space="preserve">Lista de ofertas exibindo os novos rótulos de natureza.</w:t>
      </w:r>
    </w:p>
    <w:p>
      <w:pPr>
        <w:pStyle w:val="Heading1"/>
        <w:pageBreakBefore/>
        <w:pBdr>
          <w:bottom w:val="single" w:color="465EFF" w:sz="12" w:space="4"/>
        </w:pBdr>
        <w:spacing w:after="100" w:before="280"/>
      </w:pPr>
      <w:r>
        <w:rPr>
          <w:color w:val="21306A"/>
        </w:rPr>
        <w:t xml:space="preserve">Parte 3 — Régua de completude, telemetria e vínculo da oferta (PR #26 a #28)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Terceira rodada, nascida de uso e homologação: afina a régua de completude, dá ao operador um modelo pronto para a importação de telemetria e fecha a ponta que ligava a telemetria à oferta certa. Sem migração de banco e sem regra de negócio inventada.</w:t>
      </w:r>
    </w:p>
    <w:p>
      <w:pPr>
        <w:pStyle w:val="Heading2"/>
        <w:spacing w:after="60" w:before="200"/>
      </w:pPr>
      <w:r>
        <w:rPr>
          <w:color w:val="2B3557"/>
        </w:rPr>
        <w:t xml:space="preserve">#26 — Régua proporcional; descrição curta opcional; rótulos de natureza na T3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Decisão de negócio: a régua de completude do card passou a ter duas medidas distintas. O percentual mede o preenchimento e conta todos os itens, inclusive os opcionais — sem a imagem mostra 88%, faltando os dois opcionais (imagem e descrição) 75%, tudo preenchido 100%. A publicabilidade conta só os obrigatórios: a oferta é publicável mesmo abaixo de 100%.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“Opcional” passou a significar “não obrigatório para publicar”, e não “fora da conta”. A descrição curta virou item opcional (mesmo tratamento da imagem, do PR #24) e a tabela de ofertas da solução passou a exibir os novos rótulos de natureza.</w:t>
      </w:r>
    </w:p>
    <w:p>
      <w:pPr>
        <w:spacing w:after="40" w:before="160"/>
        <w:jc w:val="center"/>
      </w:pPr>
      <w:r>
        <w:drawing>
          <wp:inline distT="0" distB="0" distL="0" distR="0">
            <wp:extent cx="3429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8"/>
          <w:sz w:val="17"/>
          <w:szCs w:val="17"/>
        </w:rPr>
        <w:t xml:space="preserve">Régua de completude em 88%: imagem e descrição como “(opcional)” e a dica “Pronta para publicar — falta apenas o item opcional”.</w:t>
      </w:r>
    </w:p>
    <w:p>
      <w:pPr>
        <w:pStyle w:val="Heading2"/>
        <w:spacing w:after="60" w:before="200"/>
      </w:pPr>
      <w:r>
        <w:rPr>
          <w:color w:val="2B3557"/>
        </w:rPr>
        <w:t xml:space="preserve">#27 — “Baixar modelo (.csv)” na importação de telemetria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tela de Importar telemetria ganhou o mesmo recurso do importador de soluções: baixar um modelo pronto antes de montar o arquivo, para não errar coluna nem formato de data e cair em quarentena por engano. O modelo traz o cabeçalho na ordem certa e uma linha de exemplo por evento reconhecido (emissão, resgate e compra); o CPF de exemplo é sintético.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8"/>
          <w:sz w:val="17"/>
          <w:szCs w:val="17"/>
        </w:rPr>
        <w:t xml:space="preserve">Importar telemetria em dois passos: “1. Baixe o modelo” com o botão “Baixar modelo (.csv)”, depois “2. Envie o arquivo”.</w:t>
      </w:r>
    </w:p>
    <w:p>
      <w:pPr>
        <w:pStyle w:val="Heading2"/>
        <w:spacing w:after="60" w:before="200"/>
      </w:pPr>
      <w:r>
        <w:rPr>
          <w:color w:val="2B3557"/>
        </w:rPr>
        <w:t xml:space="preserve">#28 — Id externo (Minutrade) editável (vínculo da telemetria)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Contexto: a telemetria importada se liga a cada oferta pelo campo Id externo (Minutrade) — a coluna id_oferta do arquivo casa com esse campo. Antes, só a carga inicial o preenchia; ofertas criadas na plataforma nasciam sem ele e a telemetria delas caía como “sem vínculo”. Não havia onde informá-lo.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Entrega: o campo passou a ser editável nos dois caminhos de cadastro.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Formulário da oferta: </w:t>
      </w:r>
      <w:r>
        <w:rPr>
          <w:b w:val="false"/>
          <w:bCs w:val="false"/>
          <w:sz w:val="22"/>
          <w:szCs w:val="22"/>
        </w:rPr>
        <w:t xml:space="preserve">novo campo, pré-preenchido na edição (não apaga o valor da carga inicial), auditado, com recusa nomeada se o id já for de outra oferta.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Importação em lote: </w:t>
      </w:r>
      <w:r>
        <w:rPr>
          <w:b w:val="false"/>
          <w:bCs w:val="false"/>
          <w:sz w:val="22"/>
          <w:szCs w:val="22"/>
        </w:rPr>
        <w:t xml:space="preserve">nova coluna no modelo .xlsx; a duplicidade é detectada já na conferência (contra ofertas existentes e entre linhas da mesma planilha).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8"/>
          <w:sz w:val="17"/>
          <w:szCs w:val="17"/>
        </w:rPr>
        <w:t xml:space="preserve">Campo “Id externo (Minutrade)” no cadastro da oferta, com a dica explicando que é a chave do vínculo da telemetria.</w:t>
      </w:r>
    </w:p>
    <w:p>
      <w:pPr>
        <w:pBdr>
          <w:top w:val="single" w:color="D7DDF5" w:sz="6"/>
          <w:bottom w:val="single" w:color="D7DDF5" w:sz="6"/>
          <w:left w:val="single" w:color="D7DDF5" w:sz="6"/>
          <w:right w:val="single" w:color="D7DDF5" w:sz="6"/>
        </w:pBdr>
        <w:shd w:fill="F6F8FF" w:val="clear"/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Pendência de integração declarada.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Isto dá onde preencher o id. Continua a confirmar com a Minutrade qual id ela usa na coluna id_oferta do arquivo de telemetria; a primeira importação real com ofertas novas é o teste desse contrato.</w:t>
      </w:r>
    </w:p>
    <w:p>
      <w:pPr>
        <w:pStyle w:val="Heading1"/>
        <w:pBdr>
          <w:bottom w:val="single" w:color="465EFF" w:sz="12" w:space="4"/>
        </w:pBdr>
        <w:spacing w:after="100" w:before="280"/>
      </w:pPr>
      <w:r>
        <w:rPr>
          <w:color w:val="21306A"/>
        </w:rPr>
        <w:t xml:space="preserve">Notas transversais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Base povoada, produção real. </w:t>
      </w:r>
      <w:r>
        <w:rPr>
          <w:b w:val="false"/>
          <w:bCs w:val="false"/>
          <w:sz w:val="22"/>
          <w:szCs w:val="22"/>
        </w:rPr>
        <w:t xml:space="preserve">Toda migração no período é aditiva.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Acessibilidade AAA </w:t>
      </w:r>
      <w:r>
        <w:rPr>
          <w:b w:val="false"/>
          <w:bCs w:val="false"/>
          <w:sz w:val="22"/>
          <w:szCs w:val="22"/>
        </w:rPr>
        <w:t xml:space="preserve">mantida em cada tela (foco visível, teclado, axe-core limpo no CI).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Auditoria e permissões </w:t>
      </w:r>
      <w:r>
        <w:rPr>
          <w:b w:val="false"/>
          <w:bCs w:val="false"/>
          <w:sz w:val="22"/>
          <w:szCs w:val="22"/>
        </w:rPr>
        <w:t xml:space="preserve">em toda mutação de negócio (valor anterior/novo/autor; solicitante ≠ aprovador).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Sem dado inventado. </w:t>
      </w:r>
      <w:r>
        <w:rPr>
          <w:b w:val="false"/>
          <w:bCs w:val="false"/>
          <w:sz w:val="22"/>
          <w:szCs w:val="22"/>
        </w:rPr>
        <w:t xml:space="preserve">Ausência de dado é sempre “pendente”, nunca um número plausível.</w:t>
      </w:r>
    </w:p>
    <w:p>
      <w:pPr>
        <w:spacing w:after="100" w:before="60"/>
      </w:pPr>
      <w:r>
        <w:rPr>
          <w:color w:val="6B7288"/>
          <w:sz w:val="17"/>
          <w:szCs w:val="17"/>
        </w:rPr>
        <w:t xml:space="preserve">Documento gerado em 25/08/2026 pela TI Broto com apoio do Claude Code. Fonte da verdade: os PRs #1–#28 na main e as fichas em docs/especificacao/.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F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4908176015229e204c6629a575b54fdb1be79f.png"/><Relationship Id="rId8" Type="http://schemas.openxmlformats.org/officeDocument/2006/relationships/image" Target="media/741d6169bfa86817f0a8d4d0ac662525f8065556.png"/><Relationship Id="rId9" Type="http://schemas.openxmlformats.org/officeDocument/2006/relationships/image" Target="media/8b6c9a33c5fabface7cac76783a6645550bc36bf.png"/><Relationship Id="rId10" Type="http://schemas.openxmlformats.org/officeDocument/2006/relationships/image" Target="media/54247a67a87775b575be8e5194b6ab54bac1d29b.png"/><Relationship Id="rId11" Type="http://schemas.openxmlformats.org/officeDocument/2006/relationships/image" Target="media/cdc6de87c34a4e2db885cdf5ae291d57b9ed80f9.png"/><Relationship Id="rId12" Type="http://schemas.openxmlformats.org/officeDocument/2006/relationships/image" Target="media/88b958d38380d1e951ac86987673b7133dd69903.png"/><Relationship Id="rId13" Type="http://schemas.openxmlformats.org/officeDocument/2006/relationships/image" Target="media/1347c65788d80589555b2102e1aa7537dcf53ce6.png"/><Relationship Id="rId14" Type="http://schemas.openxmlformats.org/officeDocument/2006/relationships/image" Target="media/0923588ede14b31d392e79c75f4174300342b09f.png"/><Relationship Id="rId15" Type="http://schemas.openxmlformats.org/officeDocument/2006/relationships/image" Target="media/8b65e84487bdf863d3db20c7c3c097bb706fdd6c.png"/><Relationship Id="rId16" Type="http://schemas.openxmlformats.org/officeDocument/2006/relationships/image" Target="media/6432b35c6825e96534f06140a4e746d261868b2b.png"/><Relationship Id="rId17" Type="http://schemas.openxmlformats.org/officeDocument/2006/relationships/image" Target="media/5dc23eb8c89883a46b6528349de88011a26577ae.png"/><Relationship Id="rId18" Type="http://schemas.openxmlformats.org/officeDocument/2006/relationships/image" Target="media/921960d6ff916fcc3d4d76606ce3f82f34650168.png"/><Relationship Id="rId19" Type="http://schemas.openxmlformats.org/officeDocument/2006/relationships/image" Target="media/25c3ef81ea1c7f52544e2b801ba034b0be01e062.png"/><Relationship Id="rId20" Type="http://schemas.openxmlformats.org/officeDocument/2006/relationships/image" Target="media/e758cebcafc9fe52ad9943db4452969ed68574f0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2026-08-25T22:49:11.908Z</dcterms:created>
  <dcterms:modified xsi:type="dcterms:W3CDTF">2026-08-25T22:49:11.909Z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