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ResumeMatch AI — Dossier de conception UML</w:t>
      </w:r>
    </w:p>
    <w:p>
      <w:r>
        <w:t xml:space="preserve">Ce dossier présente la modélisation UML de ResumeMatch AI (équipe CVisionnaires AI) : diagramme de classes, diagrammes de cas d'utilisation et diagrammes d'activité. Les diagrammes ont été produits avec </w:t>
      </w:r>
      <w:r>
        <w:rPr>
          <w:b/>
        </w:rPr>
        <w:t>PlantUML</w:t>
      </w:r>
      <w:r>
        <w:t xml:space="preserve"> à partir du code réel de l'application (modèles Django, vues API, services et interface React).</w:t>
      </w:r>
    </w:p>
    <w:p>
      <w:r>
        <w:t xml:space="preserve">Les prompts utilisés pendant la création de l'application sont regroupés dans le document </w:t>
      </w:r>
      <w:r>
        <w:rPr>
          <w:b/>
        </w:rPr>
        <w:t>PROMPTS.md</w:t>
      </w:r>
      <w:r>
        <w:t xml:space="preserve"> du même dossier.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CEFE6"/>
          </w:tcPr>
          <w:p>
            <w:r/>
            <w:r>
              <w:rPr>
                <w:b/>
                <w:sz w:val="18"/>
              </w:rPr>
              <w:t>Diagramme</w:t>
            </w:r>
          </w:p>
        </w:tc>
        <w:tc>
          <w:tcPr>
            <w:tcW w:type="dxa" w:w="2550"/>
            <w:shd w:val="clear" w:color="auto" w:fill="DCEFE6"/>
          </w:tcPr>
          <w:p>
            <w:r/>
            <w:r>
              <w:rPr>
                <w:b/>
                <w:sz w:val="18"/>
              </w:rPr>
              <w:t>Type UML</w:t>
            </w:r>
          </w:p>
        </w:tc>
        <w:tc>
          <w:tcPr>
            <w:tcW w:type="dxa" w:w="2550"/>
            <w:shd w:val="clear" w:color="auto" w:fill="DCEFE6"/>
          </w:tcPr>
          <w:p>
            <w:r/>
            <w:r>
              <w:rPr>
                <w:b/>
                <w:sz w:val="18"/>
              </w:rPr>
              <w:t>Source PlantUML</w:t>
            </w:r>
          </w:p>
        </w:tc>
        <w:tc>
          <w:tcPr>
            <w:tcW w:type="dxa" w:w="2550"/>
            <w:shd w:val="clear" w:color="auto" w:fill="DCEFE6"/>
          </w:tcPr>
          <w:p>
            <w:r/>
            <w:r>
              <w:rPr>
                <w:b/>
                <w:sz w:val="18"/>
              </w:rPr>
              <w:t>Image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Modèle de domaine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Classes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diagrammes/01-diagramme-classes.puml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images/diagramme-classes.png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Visiteur et Candidat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Cas d'utilisation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diagrammes/02-cas-utilisation-candidat.puml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images/cas-utilisation-candidat.png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Administration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Cas d'utilisation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diagrammes/03-cas-utilisation-administration.puml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images/cas-utilisation-administration.png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Lancer une analyse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Activité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diagrammes/04-activite-analyse.puml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images/activite-analyse.png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Rechercher des offres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Activité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diagrammes/05-activite-recherche-offres.puml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images/activite-recherche-offres.png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Authentification et session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Activité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diagrammes/06-activite-authentification.puml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images/activite-authentification.png</w:t>
            </w:r>
          </w:p>
        </w:tc>
      </w:tr>
    </w:tbl>
    <w:p/>
    <w:p>
      <w:pPr>
        <w:pStyle w:val="Heading1"/>
      </w:pPr>
      <w:r>
        <w:t>1. Diagramme de classes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05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me-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05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Diagramme de classes</w:t>
      </w:r>
    </w:p>
    <w:p>
      <w:r>
        <w:t xml:space="preserve">Le modèle de domaine correspond aux modèles Django des applications </w:t>
      </w:r>
      <w:r>
        <w:rPr>
          <w:rFonts w:ascii="Consolas" w:hAnsi="Consolas"/>
        </w:rPr>
        <w:t>accounts</w:t>
      </w:r>
      <w:r>
        <w:t xml:space="preserve">, </w:t>
      </w:r>
      <w:r>
        <w:rPr>
          <w:rFonts w:ascii="Consolas" w:hAnsi="Consolas"/>
        </w:rPr>
        <w:t>cvs</w:t>
      </w:r>
      <w:r>
        <w:t xml:space="preserve">, </w:t>
      </w:r>
      <w:r>
        <w:rPr>
          <w:rFonts w:ascii="Consolas" w:hAnsi="Consolas"/>
        </w:rPr>
        <w:t>analyses</w:t>
      </w:r>
      <w:r>
        <w:t xml:space="preserve"> et </w:t>
      </w:r>
      <w:r>
        <w:rPr>
          <w:rFonts w:ascii="Consolas" w:hAnsi="Consolas"/>
        </w:rPr>
        <w:t>adminpanel</w:t>
      </w:r>
      <w:r>
        <w:t xml:space="preserve">, complétés par la couche </w:t>
      </w:r>
      <w:r>
        <w:rPr>
          <w:rFonts w:ascii="Consolas" w:hAnsi="Consolas"/>
        </w:rPr>
        <w:t>services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CEFE6"/>
          </w:tcPr>
          <w:p>
            <w:r/>
            <w:r>
              <w:rPr>
                <w:b/>
                <w:sz w:val="18"/>
              </w:rPr>
              <w:t>Classe</w:t>
            </w:r>
          </w:p>
        </w:tc>
        <w:tc>
          <w:tcPr>
            <w:tcW w:type="dxa" w:w="5100"/>
            <w:shd w:val="clear" w:color="auto" w:fill="DCEFE6"/>
          </w:tcPr>
          <w:p>
            <w:r/>
            <w:r>
              <w:rPr>
                <w:b/>
                <w:sz w:val="18"/>
              </w:rPr>
              <w:t>Rôle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onsolas" w:hAnsi="Consolas"/>
                <w:sz w:val="18"/>
              </w:rPr>
              <w:t>User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 xml:space="preserve">Hérite de </w:t>
            </w:r>
            <w:r>
              <w:rPr>
                <w:rFonts w:ascii="Consolas" w:hAnsi="Consolas"/>
                <w:sz w:val="18"/>
              </w:rPr>
              <w:t>AbstractUser</w:t>
            </w:r>
            <w:r>
              <w:rPr>
                <w:sz w:val="18"/>
              </w:rPr>
              <w:t xml:space="preserve"> (Django) ; ajoute le niveau (Étudiant / Junior / Confirmé) et le poste cible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onsolas" w:hAnsi="Consolas"/>
                <w:sz w:val="18"/>
              </w:rPr>
              <w:t>CV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Fichier PDF importé, texte extrait et compétences structurées (</w:t>
            </w:r>
            <w:r>
              <w:rPr>
                <w:rFonts w:ascii="Consolas" w:hAnsi="Consolas"/>
                <w:sz w:val="18"/>
              </w:rPr>
              <w:t>parsed_data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onsolas" w:hAnsi="Consolas"/>
                <w:sz w:val="18"/>
              </w:rPr>
              <w:t>JobOffer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Offre d'emploi saisie ou importée par URL, avec son analyse structurée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onsolas" w:hAnsi="Consolas"/>
                <w:sz w:val="18"/>
              </w:rPr>
              <w:t>Analysis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Confrontation d'un CV et d'une offre : score 0-100, compétences présentes / manquantes, recommandations, statut de candidature (Kanban) et outils carrière (</w:t>
            </w:r>
            <w:r>
              <w:rPr>
                <w:rFonts w:ascii="Consolas" w:hAnsi="Consolas"/>
                <w:sz w:val="18"/>
              </w:rPr>
              <w:t>extras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onsolas" w:hAnsi="Consolas"/>
                <w:sz w:val="18"/>
              </w:rPr>
              <w:t>CoverLetter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Lettre de motivation générée pour une analyse, dans un ton donné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onsolas" w:hAnsi="Consolas"/>
                <w:sz w:val="18"/>
              </w:rPr>
              <w:t>AnalysisJob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Tâche asynchrone d'analyse (pending → running → done / failed) avec progression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onsolas" w:hAnsi="Consolas"/>
                <w:sz w:val="18"/>
              </w:rPr>
              <w:t>JobSearch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Recherche d'offres par l'IA : paramètres, plan, résultats classés (10 dernières conservées)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onsolas" w:hAnsi="Consolas"/>
                <w:sz w:val="18"/>
              </w:rPr>
              <w:t>LLMCacheEntry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Cache des réponses du LLM (clé unique = empreinte du prompt)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onsolas" w:hAnsi="Consolas"/>
                <w:sz w:val="18"/>
              </w:rPr>
              <w:t>SiteSettings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Singleton de configuration : quota quotidien, mode démo forcé, inscriptions, annonce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onsolas" w:hAnsi="Consolas"/>
                <w:sz w:val="18"/>
              </w:rPr>
              <w:t>AIService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Service IA indépendant du fournisseur, validation Pydantic et repli sur un moteur mock</w:t>
            </w:r>
          </w:p>
        </w:tc>
      </w:tr>
    </w:tbl>
    <w:p/>
    <w:p>
      <w:r>
        <w:rPr>
          <w:b/>
        </w:rPr>
        <w:t>Relations principales :</w:t>
      </w:r>
    </w:p>
    <w:p>
      <w:pPr>
        <w:pStyle w:val="ListBullet"/>
      </w:pPr>
      <w:r>
        <w:t>un utilisateur possède (composition) ses CV, offres, analyses, tâches et recherches : leur suppression suit celle du compte ;</w:t>
      </w:r>
    </w:p>
    <w:p>
      <w:pPr>
        <w:pStyle w:val="ListBullet"/>
      </w:pPr>
      <w:r>
        <w:t>une analyse relie exactement un CV et une offre ; un CV ou une offre peut servir à plusieurs analyses ;</w:t>
      </w:r>
    </w:p>
    <w:p>
      <w:pPr>
        <w:pStyle w:val="ListBullet"/>
      </w:pPr>
      <w:r>
        <w:t>une analyse peut produire plusieurs lettres de motivation (tons différents, régénérations) ;</w:t>
      </w:r>
    </w:p>
    <w:p>
      <w:pPr>
        <w:pStyle w:val="ListBullet"/>
      </w:pPr>
      <w:r>
        <w:t>une tâche asynchrone produit au plus une analyse ; une recherche d'offres s'appuie sur au plus un CV.</w:t>
      </w:r>
    </w:p>
    <w:p>
      <w:pPr>
        <w:pStyle w:val="Heading1"/>
      </w:pPr>
      <w:r>
        <w:t>2. Diagrammes de cas d'utilisation</w:t>
      </w:r>
    </w:p>
    <w:p>
      <w:pPr>
        <w:pStyle w:val="Heading3"/>
      </w:pPr>
      <w:r>
        <w:t>2.1 Visiteur et Candidat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98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-utilisation-candid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98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Cas d'utilisation — Visiteur et Candidat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CEFE6"/>
          </w:tcPr>
          <w:p>
            <w:r/>
            <w:r>
              <w:rPr>
                <w:b/>
                <w:sz w:val="18"/>
              </w:rPr>
              <w:t>Acteur</w:t>
            </w:r>
          </w:p>
        </w:tc>
        <w:tc>
          <w:tcPr>
            <w:tcW w:type="dxa" w:w="5100"/>
            <w:shd w:val="clear" w:color="auto" w:fill="DCEFE6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Visiteur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Utilisateur non connecté : consulte la page d'accueil, s'inscrit, se connecte, change la langue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Candidat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Utilisateur connecté (hérite du Visiteur) : utilise toutes les fonctionnalités d'analyse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Fournisseur IA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Système externe : Claude, OpenAI, Gemini ou moteur démo hors ligne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Sites d'offres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Systèmes externes : Remotive, Arbeitnow, Jobicy, Adzuna, France Travail</w:t>
            </w:r>
          </w:p>
        </w:tc>
      </w:tr>
    </w:tbl>
    <w:p/>
    <w:p>
      <w:r>
        <w:rPr>
          <w:b/>
        </w:rPr>
        <w:t>Relations remarquables :</w:t>
      </w:r>
    </w:p>
    <w:p>
      <w:pPr>
        <w:pStyle w:val="ListBullet"/>
      </w:pPr>
      <w:r>
        <w:rPr>
          <w:i/>
        </w:rPr>
        <w:t>Lancer une analyse</w:t>
      </w:r>
      <w:r>
        <w:t xml:space="preserve"> </w:t>
      </w:r>
      <w:r>
        <w:rPr>
          <w:b/>
        </w:rPr>
        <w:t>inclut</w:t>
      </w:r>
      <w:r>
        <w:t xml:space="preserve"> l'extraction des compétences et le calcul du score ;</w:t>
      </w:r>
    </w:p>
    <w:p>
      <w:pPr>
        <w:pStyle w:val="ListBullet"/>
      </w:pPr>
      <w:r>
        <w:rPr>
          <w:i/>
        </w:rPr>
        <w:t>Importer une offre par URL</w:t>
      </w:r>
      <w:r>
        <w:t xml:space="preserve"> </w:t>
      </w:r>
      <w:r>
        <w:rPr>
          <w:b/>
        </w:rPr>
        <w:t>étend</w:t>
      </w:r>
      <w:r>
        <w:t xml:space="preserve"> le lancement d'une analyse (option) ;</w:t>
      </w:r>
    </w:p>
    <w:p>
      <w:pPr>
        <w:pStyle w:val="ListBullet"/>
      </w:pPr>
      <w:r>
        <w:rPr>
          <w:i/>
        </w:rPr>
        <w:t>Comparer plusieurs offres</w:t>
      </w:r>
      <w:r>
        <w:t xml:space="preserve"> </w:t>
      </w:r>
      <w:r>
        <w:rPr>
          <w:b/>
        </w:rPr>
        <w:t>inclut</w:t>
      </w:r>
      <w:r>
        <w:t xml:space="preserve"> une analyse par offre ;</w:t>
      </w:r>
    </w:p>
    <w:p>
      <w:pPr>
        <w:pStyle w:val="ListBullet"/>
      </w:pPr>
      <w:r>
        <w:rPr>
          <w:i/>
        </w:rPr>
        <w:t>Exporter la lettre</w:t>
      </w:r>
      <w:r>
        <w:t xml:space="preserve"> </w:t>
      </w:r>
      <w:r>
        <w:rPr>
          <w:b/>
        </w:rPr>
        <w:t>étend</w:t>
      </w:r>
      <w:r>
        <w:t xml:space="preserve"> la génération de la lettre de motivation ;</w:t>
      </w:r>
    </w:p>
    <w:p>
      <w:pPr>
        <w:pStyle w:val="ListBullet"/>
      </w:pPr>
      <w:r>
        <w:rPr>
          <w:i/>
        </w:rPr>
        <w:t>Rechercher des offres avec l'IA</w:t>
      </w:r>
      <w:r>
        <w:t xml:space="preserve"> </w:t>
      </w:r>
      <w:r>
        <w:rPr>
          <w:b/>
        </w:rPr>
        <w:t>inclut</w:t>
      </w:r>
      <w:r>
        <w:t xml:space="preserve"> l'extraction des compétences et sollicite les deux systèmes externes.</w:t>
      </w:r>
    </w:p>
    <w:p>
      <w:pPr>
        <w:pStyle w:val="Heading3"/>
      </w:pPr>
      <w:r>
        <w:t>2.2 Administration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161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-utilisation-administ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6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Cas d'utilisation — Administration</w:t>
      </w:r>
    </w:p>
    <w:p>
      <w:r>
        <w:t>L'</w:t>
      </w:r>
      <w:r>
        <w:rPr>
          <w:b/>
        </w:rPr>
        <w:t>Administrateur</w:t>
      </w:r>
      <w:r>
        <w:t xml:space="preserve"> hérite du Candidat : il dispose de toutes les fonctionnalités candidat, plus la console d'administration. Chaque cas d'administration </w:t>
      </w:r>
      <w:r>
        <w:rPr>
          <w:b/>
        </w:rPr>
        <w:t>inclut</w:t>
      </w:r>
      <w:r>
        <w:t xml:space="preserve"> l'authentification avec un compte </w:t>
      </w:r>
      <w:r>
        <w:rPr>
          <w:rFonts w:ascii="Consolas" w:hAnsi="Consolas"/>
        </w:rPr>
        <w:t>is_staff</w:t>
      </w:r>
      <w:r>
        <w:t xml:space="preserve">. La gestion des utilisateurs (recherche, activation, promotion, niveau, suppression) et la configuration de la plateforme (quota, mode démo, inscriptions, annonce) sont modélisées comme des </w:t>
      </w:r>
      <w:r>
        <w:rPr>
          <w:b/>
        </w:rPr>
        <w:t>extensions</w:t>
      </w:r>
      <w:r>
        <w:t>.</w:t>
      </w:r>
    </w:p>
    <w:p>
      <w:pPr>
        <w:pStyle w:val="Heading1"/>
      </w:pPr>
      <w:r>
        <w:t>3. Diagrammes d'activité</w:t>
      </w:r>
    </w:p>
    <w:p>
      <w:r>
        <w:t xml:space="preserve">Les diagrammes d'activité utilisent des </w:t>
      </w:r>
      <w:r>
        <w:rPr>
          <w:b/>
        </w:rPr>
        <w:t>couloirs (swimlanes)</w:t>
      </w:r>
      <w:r>
        <w:t xml:space="preserve"> pour montrer qui réalise chaque action : le candidat, l'interface React, l'API Django ou le service IA.</w:t>
      </w:r>
    </w:p>
    <w:p>
      <w:pPr>
        <w:pStyle w:val="Heading3"/>
      </w:pPr>
      <w:r>
        <w:t>3.1 Lancer une analyse CV / offre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838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e-analy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8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Activité — Lancer une analyse</w:t>
      </w:r>
    </w:p>
    <w:p>
      <w:r>
        <w:t>Étapes clés :</w:t>
      </w:r>
    </w:p>
    <w:p>
      <w:pPr>
        <w:pStyle w:val="ListBullet"/>
      </w:pPr>
      <w:r>
        <w:t>import et validation du CV PDF (5 Mo maximum), extraction du texte puis des compétences par l'IA ;</w:t>
      </w:r>
    </w:p>
    <w:p>
      <w:pPr>
        <w:pStyle w:val="ListBullet"/>
      </w:pPr>
      <w:r>
        <w:t>offre collée ou importée par URL (protection anti-SSRF) ;</w:t>
      </w:r>
    </w:p>
    <w:p>
      <w:pPr>
        <w:pStyle w:val="ListBullet"/>
      </w:pPr>
      <w:r>
        <w:t xml:space="preserve">vérification du quota quotidien : réponse </w:t>
      </w:r>
      <w:r>
        <w:rPr>
          <w:b/>
        </w:rPr>
        <w:t>429</w:t>
      </w:r>
      <w:r>
        <w:t xml:space="preserve"> si atteint ;</w:t>
      </w:r>
    </w:p>
    <w:p>
      <w:pPr>
        <w:pStyle w:val="ListBullet"/>
      </w:pPr>
      <w:r>
        <w:t xml:space="preserve">création d'une tâche </w:t>
      </w:r>
      <w:r>
        <w:rPr>
          <w:rFonts w:ascii="Consolas" w:hAnsi="Consolas"/>
        </w:rPr>
        <w:t>AnalysisJob</w:t>
      </w:r>
      <w:r>
        <w:t xml:space="preserve"> et réponse </w:t>
      </w:r>
      <w:r>
        <w:rPr>
          <w:b/>
        </w:rPr>
        <w:t>202</w:t>
      </w:r>
      <w:r>
        <w:t xml:space="preserve"> immédiate ;</w:t>
      </w:r>
    </w:p>
    <w:p>
      <w:pPr>
        <w:pStyle w:val="ListBullet"/>
      </w:pPr>
      <w:r>
        <w:rPr>
          <w:b/>
        </w:rPr>
        <w:t>en parallèle</w:t>
      </w:r>
      <w:r>
        <w:t xml:space="preserve"> : l'API exécute l'analyse en arrière-plan (analyse de l'offre, score compétences, score sémantique, combinaison 55 % / 45 % ajustée selon le niveau, recommandations) pendant que l'interface interroge la tâche avec un intervalle croissant (250 ms → 1,5 s) ;</w:t>
      </w:r>
    </w:p>
    <w:p>
      <w:pPr>
        <w:pStyle w:val="ListBullet"/>
      </w:pPr>
      <w:r>
        <w:t>redirection vers la page de résultats ou affichage de l'erreur.</w:t>
      </w:r>
    </w:p>
    <w:p>
      <w:pPr>
        <w:pStyle w:val="Heading3"/>
      </w:pPr>
      <w:r>
        <w:t>3.2 Rechercher des offres avec l'IA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84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e-recherche-off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8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Activité — Rechercher des offres</w:t>
      </w:r>
    </w:p>
    <w:p>
      <w:r>
        <w:t>Étapes clés :</w:t>
      </w:r>
    </w:p>
    <w:p>
      <w:pPr>
        <w:pStyle w:val="ListBullet"/>
      </w:pPr>
      <w:r>
        <w:t xml:space="preserve">contrôle du texte du CV (réponse </w:t>
      </w:r>
      <w:r>
        <w:rPr>
          <w:b/>
        </w:rPr>
        <w:t>400</w:t>
      </w:r>
      <w:r>
        <w:t xml:space="preserve"> s'il est vide) et réutilisation des compétences déjà extraites ;</w:t>
      </w:r>
    </w:p>
    <w:p>
      <w:pPr>
        <w:pStyle w:val="ListBullet"/>
      </w:pPr>
      <w:r>
        <w:t>construction par l'IA d'un plan de recherche (intitulés FR / EN, mots-clés, séniorité) ;</w:t>
      </w:r>
    </w:p>
    <w:p>
      <w:pPr>
        <w:pStyle w:val="ListBullet"/>
      </w:pPr>
      <w:r>
        <w:t xml:space="preserve">interrogation </w:t>
      </w:r>
      <w:r>
        <w:rPr>
          <w:b/>
        </w:rPr>
        <w:t>en parallèle</w:t>
      </w:r>
      <w:r>
        <w:t xml:space="preserve"> des 5 sources (cache d'une heure, 8 s maximum par source, une source en échec est ignorée) ; réponse </w:t>
      </w:r>
      <w:r>
        <w:rPr>
          <w:b/>
        </w:rPr>
        <w:t>502</w:t>
      </w:r>
      <w:r>
        <w:t xml:space="preserve"> si toutes échouent ;</w:t>
      </w:r>
    </w:p>
    <w:p>
      <w:pPr>
        <w:pStyle w:val="ListBullet"/>
      </w:pPr>
      <w:r>
        <w:t>dédoublonnage, filtrage par lieu / télétravail, pré-classement local puis classement par l'IA ;</w:t>
      </w:r>
    </w:p>
    <w:p>
      <w:pPr>
        <w:pStyle w:val="ListBullet"/>
      </w:pPr>
      <w:r>
        <w:t>conservation des 20 meilleures offres et enregistrement de la recherche (10 dernières conservées) ;</w:t>
      </w:r>
    </w:p>
    <w:p>
      <w:pPr>
        <w:pStyle w:val="ListBullet"/>
      </w:pPr>
      <w:r>
        <w:t>possibilité d'ouvrir l'assistant d'analyse pré-rempli avec une offre.</w:t>
      </w:r>
    </w:p>
    <w:p>
      <w:pPr>
        <w:pStyle w:val="Heading3"/>
      </w:pPr>
      <w:r>
        <w:t>3.3 Inscription, connexion et session JWT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0686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e-authentif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6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Activité — Authentification</w:t>
      </w:r>
    </w:p>
    <w:p>
      <w:r>
        <w:t>Étapes clés :</w:t>
      </w:r>
    </w:p>
    <w:p>
      <w:pPr>
        <w:pStyle w:val="ListBullet"/>
      </w:pPr>
      <w:r>
        <w:t>inscription : contrôle de l'ouverture des inscriptions (</w:t>
      </w:r>
      <w:r>
        <w:rPr>
          <w:b/>
        </w:rPr>
        <w:t>403</w:t>
      </w:r>
      <w:r>
        <w:t xml:space="preserve"> si fermées), validation (e-mail unique, mots de passe identiques et robustes), mot de passe haché en PBKDF2 ;</w:t>
      </w:r>
    </w:p>
    <w:p>
      <w:pPr>
        <w:pStyle w:val="ListBullet"/>
      </w:pPr>
      <w:r>
        <w:t>connexion : émission d'un jeton d'accès (60 min) et d'un jeton de rafraîchissement (7 jours), stockés dans le navigateur ;</w:t>
      </w:r>
    </w:p>
    <w:p>
      <w:pPr>
        <w:pStyle w:val="ListBullet"/>
      </w:pPr>
      <w:r>
        <w:t>à chaque appel, si le jeton d'accès a expiré (</w:t>
      </w:r>
      <w:r>
        <w:rPr>
          <w:b/>
        </w:rPr>
        <w:t>401</w:t>
      </w:r>
      <w:r>
        <w:t>), l'interface demande un nouveau jeton et rejoue la requête ; si le jeton de rafraîchissement est invalide, elle efface la session et redirige vers la connexion ;</w:t>
      </w:r>
    </w:p>
    <w:p>
      <w:pPr>
        <w:pStyle w:val="ListBullet"/>
      </w:pPr>
      <w:r>
        <w:t>déconnexion : suppression des jetons.</w:t>
      </w:r>
    </w:p>
    <w:p>
      <w:pPr>
        <w:pStyle w:val="Heading1"/>
      </w:pPr>
      <w:r>
        <w:t>4. Régénérer les diagrammes</w:t>
      </w:r>
    </w:p>
    <w:p>
      <w:r>
        <w:t xml:space="preserve">Prérequis : Java 17 ou plus et </w:t>
      </w:r>
      <w:r>
        <w:rPr>
          <w:rFonts w:ascii="Consolas" w:hAnsi="Consolas"/>
        </w:rPr>
        <w:t>plantuml.jar</w:t>
      </w:r>
      <w:r>
        <w:t xml:space="preserve"> (aucune installation de Graphviz nécessaire, le moteur intégré </w:t>
      </w:r>
      <w:r>
        <w:rPr>
          <w:i/>
        </w:rPr>
        <w:t>smetana</w:t>
      </w:r>
      <w:r>
        <w:t xml:space="preserve"> est utilisé).</w:t>
      </w:r>
    </w:p>
    <w:p>
      <w:pPr>
        <w:ind w:left="227"/>
        <w:shd w:val="clear" w:fill="F2F4F3"/>
      </w:pPr>
      <w:r>
        <w:rPr>
          <w:rFonts w:ascii="Consolas" w:hAnsi="Consolas"/>
          <w:sz w:val="17"/>
        </w:rPr>
        <w:t>cd docs/conception/diagrammes</w:t>
        <w:br/>
        <w:t>java -jar plantuml.jar -charset UTF-8 -tpng -o ../images *.puml</w:t>
        <w:br/>
        <w:t>java -jar plantuml.jar -charset UTF-8 -tsvg -o ../images *.puml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D3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D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3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