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T-SQL supports two “not equal to” operators: &lt;&gt; and !=.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r>
        <w:rPr>
          <w:rFonts w:ascii="Segoe" w:hAnsi="Segoe" w:cs="Segoe"/>
          <w:sz w:val="18"/>
          <w:szCs w:val="18"/>
        </w:rPr>
        <w:t>and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r>
        <w:rPr>
          <w:rFonts w:ascii="Segoe" w:hAnsi="Segoe" w:cs="Segoe"/>
          <w:sz w:val="18"/>
          <w:szCs w:val="18"/>
        </w:rPr>
        <w:t>argument.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this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lastname</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w:t>
      </w:r>
      <w:r>
        <w:rPr>
          <w:rFonts w:ascii="Segoe" w:hAnsi="Segoe" w:cs="Segoe"/>
          <w:sz w:val="18"/>
          <w:szCs w:val="18"/>
        </w:rPr>
        <w:t xml:space="preserve"> </w:t>
      </w:r>
      <w:r>
        <w:rPr>
          <w:rFonts w:ascii="Segoe" w:hAnsi="Segoe" w:cs="Segoe"/>
          <w:sz w:val="18"/>
          <w:szCs w:val="18"/>
        </w:rPr>
        <w:t>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firstname + ' ' + lastname</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T2.keycol ...</w:t>
      </w: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w:t>
      </w:r>
      <w:r>
        <w:rPr>
          <w:rFonts w:ascii="Segoe" w:hAnsi="Segoe" w:cs="Segoe"/>
          <w:sz w:val="18"/>
          <w:szCs w:val="18"/>
        </w:rPr>
        <w:t xml:space="preserve"> </w:t>
      </w:r>
      <w:r>
        <w:rPr>
          <w:rFonts w:ascii="Segoe" w:hAnsi="Segoe" w:cs="Segoe"/>
          <w:sz w:val="18"/>
          <w:szCs w:val="18"/>
        </w:rPr>
        <w:t>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AS key1, T2.keycol AS key2 ...</w:t>
      </w:r>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w:t>
      </w:r>
      <w:r>
        <w:rPr>
          <w:rFonts w:ascii="Segoe" w:hAnsi="Segoe" w:cs="Segoe"/>
          <w:sz w:val="18"/>
          <w:szCs w:val="18"/>
        </w:rPr>
        <w:t xml:space="preserve">le with a row, and an attribute </w:t>
      </w:r>
      <w:r>
        <w:rPr>
          <w:rFonts w:ascii="Segoe" w:hAnsi="Segoe" w:cs="Segoe"/>
          <w:sz w:val="18"/>
          <w:szCs w:val="18"/>
        </w:rPr>
        <w:t>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w:t>
      </w:r>
      <w:r>
        <w:rPr>
          <w:rFonts w:ascii="Segoe" w:hAnsi="Segoe" w:cs="Segoe"/>
          <w:sz w:val="18"/>
          <w:szCs w:val="18"/>
        </w:rPr>
        <w:t xml:space="preserve"> </w:t>
      </w:r>
      <w:r>
        <w:rPr>
          <w:rFonts w:ascii="Segoe" w:hAnsi="Segoe" w:cs="Segoe"/>
          <w:sz w:val="18"/>
          <w:szCs w:val="18"/>
        </w:rPr>
        <w:t>the nonrelational aspects of the query are?</w:t>
      </w:r>
      <w:r>
        <w:rPr>
          <w:rFonts w:ascii="Segoe" w:hAnsi="Segoe" w:cs="Segoe"/>
          <w:sz w:val="18"/>
          <w:szCs w:val="18"/>
        </w:rPr>
        <w:t xml:space="preserve"> </w:t>
      </w:r>
      <w:r>
        <w:rPr>
          <w:rFonts w:ascii="Segoe" w:hAnsi="Segoe" w:cs="Segoe"/>
          <w:sz w:val="18"/>
          <w:szCs w:val="18"/>
        </w:rPr>
        <w:t>Answer: The query doesn’t alias the expression YEAR(orderdate), so there’s no name for</w:t>
      </w:r>
      <w:r>
        <w:rPr>
          <w:rFonts w:ascii="Segoe" w:hAnsi="Segoe" w:cs="Segoe"/>
          <w:sz w:val="18"/>
          <w:szCs w:val="18"/>
        </w:rPr>
        <w:t xml:space="preserve"> </w:t>
      </w:r>
      <w:r>
        <w:rPr>
          <w:rFonts w:ascii="Segoe" w:hAnsi="Segoe" w:cs="Segoe"/>
          <w:sz w:val="18"/>
          <w:szCs w:val="18"/>
        </w:rPr>
        <w:t>the result attribute. The query can return duplicates</w:t>
      </w:r>
      <w:r w:rsidR="00DE2A19">
        <w:rPr>
          <w:rFonts w:ascii="Segoe" w:hAnsi="Segoe" w:cs="Segoe"/>
          <w:sz w:val="18"/>
          <w:szCs w:val="18"/>
        </w:rPr>
        <w:t>(but set should not have duplicates)</w:t>
      </w:r>
      <w:r>
        <w:rPr>
          <w:rFonts w:ascii="Segoe" w:hAnsi="Segoe" w:cs="Segoe"/>
          <w:sz w:val="18"/>
          <w:szCs w:val="18"/>
        </w:rPr>
        <w:t>. The query forces certain presentation</w:t>
      </w:r>
      <w:r>
        <w:rPr>
          <w:rFonts w:ascii="Segoe" w:hAnsi="Segoe" w:cs="Segoe"/>
          <w:sz w:val="18"/>
          <w:szCs w:val="18"/>
        </w:rPr>
        <w:t xml:space="preserve"> </w:t>
      </w:r>
      <w:r>
        <w:rPr>
          <w:rFonts w:ascii="Segoe" w:hAnsi="Segoe" w:cs="Segoe"/>
          <w:sz w:val="18"/>
          <w:szCs w:val="18"/>
        </w:rPr>
        <w:t>ordering to the result and uses ordinal positions in the ORDER BY clause</w:t>
      </w:r>
      <w:r w:rsidR="003344FF">
        <w:rPr>
          <w:rFonts w:ascii="Segoe" w:hAnsi="Segoe" w:cs="Segoe"/>
          <w:sz w:val="18"/>
          <w:szCs w:val="18"/>
        </w:rPr>
        <w:t>(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custid, YEAR(orderdate)</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Sales.Orders</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order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w:t>
      </w:r>
      <w:r>
        <w:rPr>
          <w:rFonts w:ascii="Segoe" w:hAnsi="Segoe" w:cs="Segoe"/>
          <w:color w:val="000000"/>
          <w:sz w:val="18"/>
          <w:szCs w:val="18"/>
        </w:rPr>
        <w:t xml:space="preserve">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SELECT country, YEAR(hiredate) AS yearhired, COUNT(*) AS numemployees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FROM HR.Employees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WHERE hiredate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GROUP BY country, YEAR(hiredate)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HAVING COUNT(*)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ORDER BY country , yearhired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This query is issued against the HR.Employees table. It filters only employees that were</w:t>
      </w:r>
      <w:r>
        <w:rPr>
          <w:rFonts w:ascii="Segoe" w:hAnsi="Segoe" w:cs="Segoe"/>
          <w:sz w:val="18"/>
          <w:szCs w:val="18"/>
        </w:rPr>
        <w:t xml:space="preserve"> </w:t>
      </w:r>
      <w:r>
        <w:rPr>
          <w:rFonts w:ascii="Segoe" w:hAnsi="Segoe" w:cs="Segoe"/>
          <w:sz w:val="18"/>
          <w:szCs w:val="18"/>
        </w:rPr>
        <w:t>hired in or after the year 2003. It groups the remaining employees by country and the hire</w:t>
      </w:r>
      <w:r>
        <w:rPr>
          <w:rFonts w:ascii="Segoe" w:hAnsi="Segoe" w:cs="Segoe"/>
          <w:sz w:val="18"/>
          <w:szCs w:val="18"/>
        </w:rPr>
        <w:t xml:space="preserve"> </w:t>
      </w:r>
      <w:r>
        <w:rPr>
          <w:rFonts w:ascii="Segoe" w:hAnsi="Segoe" w:cs="Segoe"/>
          <w:sz w:val="18"/>
          <w:szCs w:val="18"/>
        </w:rPr>
        <w:t>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query returns the hire year and count of employees, sorted by country and hire year, in descending</w:t>
      </w:r>
      <w:r>
        <w:rPr>
          <w:rFonts w:ascii="Segoe" w:hAnsi="Segoe" w:cs="Segoe"/>
          <w:sz w:val="18"/>
          <w:szCs w:val="18"/>
        </w:rPr>
        <w:t xml:space="preserve"> </w:t>
      </w:r>
      <w:r>
        <w:rPr>
          <w:rFonts w:ascii="Segoe" w:hAnsi="Segoe" w:cs="Segoe"/>
          <w:sz w:val="18"/>
          <w:szCs w:val="18"/>
        </w:rPr>
        <w:t>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w:t>
      </w:r>
      <w:r>
        <w:rPr>
          <w:rFonts w:ascii="Segoe" w:hAnsi="Segoe" w:cs="Segoe"/>
          <w:sz w:val="18"/>
          <w:szCs w:val="18"/>
        </w:rPr>
        <w:t>ttempting</w:t>
      </w:r>
      <w:r>
        <w:rPr>
          <w:rFonts w:ascii="Segoe" w:hAnsi="Segoe" w:cs="Segoe"/>
          <w:sz w:val="18"/>
          <w:szCs w:val="18"/>
        </w:rPr>
        <w:t xml:space="preserve"> </w:t>
      </w:r>
      <w:r>
        <w:rPr>
          <w:rFonts w:ascii="Segoe" w:hAnsi="Segoe" w:cs="Segoe"/>
          <w:sz w:val="18"/>
          <w:szCs w:val="18"/>
        </w:rPr>
        <w:t>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SELECT country, YEAR(hiredate) AS yearhired</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FROM HR.Employees</w:t>
      </w:r>
      <w:r w:rsidR="000C3D56">
        <w:rPr>
          <w:rFonts w:ascii="Segoe" w:hAnsi="Segoe" w:cs="Segoe"/>
          <w:sz w:val="18"/>
          <w:szCs w:val="18"/>
        </w:rPr>
        <w:t xml:space="preserve"> </w:t>
      </w:r>
      <w:r w:rsidRPr="009A7E40">
        <w:rPr>
          <w:rFonts w:ascii="Segoe" w:hAnsi="Segoe" w:cs="Segoe"/>
          <w:sz w:val="18"/>
          <w:szCs w:val="18"/>
        </w:rPr>
        <w:t>WHERE yearhired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Msg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'yearhired'.</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Group Phase: </w:t>
      </w:r>
      <w:r>
        <w:rPr>
          <w:rFonts w:ascii="Segoe" w:hAnsi="Segoe" w:cs="Segoe"/>
          <w:sz w:val="18"/>
          <w:szCs w:val="18"/>
        </w:rPr>
        <w:t>All expressions processed in subsequent phases must guarantee a single</w:t>
      </w:r>
      <w:r>
        <w:rPr>
          <w:rFonts w:ascii="Segoe" w:hAnsi="Segoe" w:cs="Segoe"/>
          <w:sz w:val="18"/>
          <w:szCs w:val="18"/>
        </w:rPr>
        <w:t xml:space="preserve"> </w:t>
      </w:r>
      <w:r>
        <w:rPr>
          <w:rFonts w:ascii="Segoe" w:hAnsi="Segoe" w:cs="Segoe"/>
          <w:sz w:val="18"/>
          <w:szCs w:val="18"/>
        </w:rPr>
        <w:t>value per group. If you refer to an element from the GROUP BY list (for example, country),</w:t>
      </w:r>
      <w:r>
        <w:rPr>
          <w:rFonts w:ascii="Segoe" w:hAnsi="Segoe" w:cs="Segoe"/>
          <w:sz w:val="18"/>
          <w:szCs w:val="18"/>
        </w:rPr>
        <w:t xml:space="preserve"> </w:t>
      </w:r>
      <w:r>
        <w:rPr>
          <w:rFonts w:ascii="Segoe" w:hAnsi="Segoe" w:cs="Segoe"/>
          <w:sz w:val="18"/>
          <w:szCs w:val="18"/>
        </w:rPr>
        <w:t>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refer to an element that is not part of your GROUP BY list (for example, empid), it must be</w:t>
      </w:r>
      <w:r>
        <w:rPr>
          <w:rFonts w:ascii="Segoe" w:hAnsi="Segoe" w:cs="Segoe"/>
          <w:sz w:val="18"/>
          <w:szCs w:val="18"/>
        </w:rPr>
        <w:t xml:space="preserve"> </w:t>
      </w:r>
      <w:r>
        <w:rPr>
          <w:rFonts w:ascii="Segoe" w:hAnsi="Segoe" w:cs="Segoe"/>
          <w:sz w:val="18"/>
          <w:szCs w:val="18"/>
        </w:rPr>
        <w:t>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w:t>
      </w:r>
      <w:r>
        <w:rPr>
          <w:rFonts w:ascii="Segoe-Semibold" w:hAnsi="Segoe-Semibold" w:cs="Segoe-Semibold"/>
          <w:sz w:val="17"/>
          <w:szCs w:val="17"/>
        </w:rPr>
        <w:t xml:space="preserve"> </w:t>
      </w:r>
      <w:r>
        <w:rPr>
          <w:rFonts w:ascii="Segoe-Semibold" w:hAnsi="Segoe-Semibold" w:cs="Segoe-Semibold"/>
          <w:sz w:val="17"/>
          <w:szCs w:val="17"/>
        </w:rPr>
        <w:t>per row. The HAVING clause is evaluated after rows are grouped, and therefore</w:t>
      </w:r>
      <w:r>
        <w:rPr>
          <w:rFonts w:ascii="Segoe-Semibold" w:hAnsi="Segoe-Semibold" w:cs="Segoe-Semibold"/>
          <w:sz w:val="17"/>
          <w:szCs w:val="17"/>
        </w:rPr>
        <w:t xml:space="preserve"> </w:t>
      </w:r>
      <w:r>
        <w:rPr>
          <w:rFonts w:ascii="Segoe-Semibold" w:hAnsi="Segoe-Semibold" w:cs="Segoe-Semibold"/>
          <w:sz w:val="17"/>
          <w:szCs w:val="17"/>
        </w:rPr>
        <w:t>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w:t>
      </w:r>
      <w:r w:rsidR="00BF2EDA">
        <w:rPr>
          <w:rFonts w:ascii="Segoe" w:hAnsi="Segoe" w:cs="Segoe"/>
          <w:sz w:val="18"/>
          <w:szCs w:val="18"/>
        </w:rPr>
        <w:t xml:space="preserve"> </w:t>
      </w:r>
      <w:r w:rsidR="00BF2EDA">
        <w:rPr>
          <w:rFonts w:ascii="Segoe" w:hAnsi="Segoe" w:cs="Segoe"/>
          <w:sz w:val="18"/>
          <w:szCs w:val="18"/>
        </w:rPr>
        <w:t>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SELECT empid, country, YEAR(hiredate) AS yearhired, yearhired - 1 AS prevyear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FROM HR.Employees;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Msg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'yearhired'.</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The reason that this isn’t allowed is that, conceptually, T-SQL evaluates all expressions that</w:t>
      </w:r>
      <w:r>
        <w:rPr>
          <w:rFonts w:ascii="Segoe" w:hAnsi="Segoe" w:cs="Segoe"/>
          <w:sz w:val="18"/>
          <w:szCs w:val="18"/>
        </w:rPr>
        <w:t xml:space="preserve"> </w:t>
      </w:r>
      <w:r>
        <w:rPr>
          <w:rFonts w:ascii="Segoe" w:hAnsi="Segoe" w:cs="Segoe"/>
          <w:sz w:val="18"/>
          <w:szCs w:val="18"/>
        </w:rPr>
        <w:t>appear in the same logical query processing phase in an all-at-once manner. Note the use of</w:t>
      </w:r>
      <w:r>
        <w:rPr>
          <w:rFonts w:ascii="Segoe" w:hAnsi="Segoe" w:cs="Segoe"/>
          <w:sz w:val="18"/>
          <w:szCs w:val="18"/>
        </w:rPr>
        <w:t xml:space="preserve"> </w:t>
      </w:r>
      <w:r>
        <w:rPr>
          <w:rFonts w:ascii="Segoe" w:hAnsi="Segoe" w:cs="Segoe"/>
          <w:sz w:val="18"/>
          <w:szCs w:val="18"/>
        </w:rPr>
        <w:t xml:space="preserve">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w:t>
      </w:r>
      <w:r>
        <w:rPr>
          <w:rFonts w:ascii="Segoe" w:hAnsi="Segoe" w:cs="Segoe"/>
          <w:sz w:val="18"/>
          <w:szCs w:val="18"/>
        </w:rPr>
        <w:t xml:space="preserve"> </w:t>
      </w:r>
      <w:r>
        <w:rPr>
          <w:rFonts w:ascii="Segoe" w:hAnsi="Segoe" w:cs="Segoe"/>
          <w:sz w:val="18"/>
          <w:szCs w:val="18"/>
        </w:rPr>
        <w:t>same point in time, but it has to produce a result as if it did. This behavior is different than</w:t>
      </w:r>
      <w:r>
        <w:rPr>
          <w:rFonts w:ascii="Segoe" w:hAnsi="Segoe" w:cs="Segoe"/>
          <w:sz w:val="18"/>
          <w:szCs w:val="18"/>
        </w:rPr>
        <w:t xml:space="preserve"> </w:t>
      </w:r>
      <w:r>
        <w:rPr>
          <w:rFonts w:ascii="Segoe" w:hAnsi="Segoe" w:cs="Segoe"/>
          <w:sz w:val="18"/>
          <w:szCs w:val="18"/>
        </w:rPr>
        <w:t>many other programming languages where expressions usually get evaluated in a left-toright</w:t>
      </w:r>
      <w:r>
        <w:rPr>
          <w:rFonts w:ascii="Segoe" w:hAnsi="Segoe" w:cs="Segoe"/>
          <w:sz w:val="18"/>
          <w:szCs w:val="18"/>
        </w:rPr>
        <w:t xml:space="preserve"> </w:t>
      </w:r>
      <w:r>
        <w:rPr>
          <w:rFonts w:ascii="Segoe" w:hAnsi="Segoe" w:cs="Segoe"/>
          <w:sz w:val="18"/>
          <w:szCs w:val="18"/>
        </w:rPr>
        <w:t>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right.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w:t>
      </w:r>
      <w:r>
        <w:rPr>
          <w:rFonts w:ascii="Segoe" w:hAnsi="Segoe" w:cs="Segoe"/>
          <w:sz w:val="18"/>
          <w:szCs w:val="18"/>
        </w:rPr>
        <w:t xml:space="preserve"> </w:t>
      </w:r>
      <w:r>
        <w:rPr>
          <w:rFonts w:ascii="Segoe" w:hAnsi="Segoe" w:cs="Segoe"/>
          <w:sz w:val="18"/>
          <w:szCs w:val="18"/>
        </w:rPr>
        <w:t>ORDER BY clause that is normally used to define presentation ordering also defines which</w:t>
      </w:r>
      <w:r>
        <w:rPr>
          <w:rFonts w:ascii="Segoe" w:hAnsi="Segoe" w:cs="Segoe"/>
          <w:sz w:val="18"/>
          <w:szCs w:val="18"/>
        </w:rPr>
        <w:t xml:space="preserve"> </w:t>
      </w:r>
      <w:r>
        <w:rPr>
          <w:rFonts w:ascii="Segoe" w:hAnsi="Segoe" w:cs="Segoe"/>
          <w:sz w:val="18"/>
          <w:szCs w:val="18"/>
        </w:rPr>
        <w:t>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r w:rsidR="003663D9">
        <w:rPr>
          <w:rFonts w:ascii="Segoe" w:hAnsi="Segoe" w:cs="Segoe"/>
          <w:sz w:val="18"/>
          <w:szCs w:val="18"/>
        </w:rPr>
        <w:t>E.Name, DISTINCT E.Age…;</w:t>
      </w:r>
      <w:r w:rsidR="00E14BBF">
        <w:rPr>
          <w:rFonts w:ascii="Segoe" w:hAnsi="Segoe" w:cs="Segoe"/>
          <w:sz w:val="18"/>
          <w:szCs w:val="18"/>
        </w:rPr>
        <w:t xml:space="preserve"> ????</w:t>
      </w:r>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bookmarkStart w:id="0" w:name="_GoBack"/>
      <w:bookmarkEnd w:id="0"/>
    </w:p>
    <w:p w:rsidR="00C91669" w:rsidRPr="00EB07E4" w:rsidRDefault="00C91669" w:rsidP="005A59C5">
      <w:pPr>
        <w:autoSpaceDE w:val="0"/>
        <w:autoSpaceDN w:val="0"/>
        <w:adjustRightInd w:val="0"/>
        <w:spacing w:after="0" w:line="240" w:lineRule="auto"/>
        <w:rPr>
          <w:rFonts w:ascii="Segoe" w:hAnsi="Segoe" w:cs="Segoe"/>
          <w:sz w:val="18"/>
          <w:szCs w:val="18"/>
        </w:rPr>
      </w:pPr>
    </w:p>
    <w:sectPr w:rsidR="00C91669" w:rsidRPr="00EB07E4"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70DD3"/>
    <w:rsid w:val="000B385D"/>
    <w:rsid w:val="000C3D56"/>
    <w:rsid w:val="000C5643"/>
    <w:rsid w:val="001721DA"/>
    <w:rsid w:val="001B69B8"/>
    <w:rsid w:val="001C1886"/>
    <w:rsid w:val="001F0B4D"/>
    <w:rsid w:val="002B46E1"/>
    <w:rsid w:val="002D6C6A"/>
    <w:rsid w:val="002F2A66"/>
    <w:rsid w:val="0031154A"/>
    <w:rsid w:val="00327045"/>
    <w:rsid w:val="003344FF"/>
    <w:rsid w:val="00362E4C"/>
    <w:rsid w:val="003663D9"/>
    <w:rsid w:val="00396D09"/>
    <w:rsid w:val="003E7831"/>
    <w:rsid w:val="00474C63"/>
    <w:rsid w:val="0047546C"/>
    <w:rsid w:val="004845A3"/>
    <w:rsid w:val="004A0B00"/>
    <w:rsid w:val="004C5BF8"/>
    <w:rsid w:val="00544DE4"/>
    <w:rsid w:val="00554AD9"/>
    <w:rsid w:val="0058180B"/>
    <w:rsid w:val="0059526A"/>
    <w:rsid w:val="005A59C5"/>
    <w:rsid w:val="005D3D1D"/>
    <w:rsid w:val="006123F5"/>
    <w:rsid w:val="00622E0E"/>
    <w:rsid w:val="00680CE8"/>
    <w:rsid w:val="0068741A"/>
    <w:rsid w:val="006D4670"/>
    <w:rsid w:val="007226EC"/>
    <w:rsid w:val="00741123"/>
    <w:rsid w:val="007A534F"/>
    <w:rsid w:val="007D0CB9"/>
    <w:rsid w:val="007E7D0C"/>
    <w:rsid w:val="007F34A8"/>
    <w:rsid w:val="008635C5"/>
    <w:rsid w:val="00881F9A"/>
    <w:rsid w:val="00913FE6"/>
    <w:rsid w:val="00980B53"/>
    <w:rsid w:val="009836C5"/>
    <w:rsid w:val="00995D05"/>
    <w:rsid w:val="009A7E40"/>
    <w:rsid w:val="00A758AB"/>
    <w:rsid w:val="00AA0381"/>
    <w:rsid w:val="00AB3C14"/>
    <w:rsid w:val="00AB4873"/>
    <w:rsid w:val="00B52578"/>
    <w:rsid w:val="00B61927"/>
    <w:rsid w:val="00B76251"/>
    <w:rsid w:val="00B818B9"/>
    <w:rsid w:val="00BD7410"/>
    <w:rsid w:val="00BF2EDA"/>
    <w:rsid w:val="00C25A05"/>
    <w:rsid w:val="00C91669"/>
    <w:rsid w:val="00C92F17"/>
    <w:rsid w:val="00CC60F9"/>
    <w:rsid w:val="00CF5EBB"/>
    <w:rsid w:val="00D14E51"/>
    <w:rsid w:val="00D65B5A"/>
    <w:rsid w:val="00D944E4"/>
    <w:rsid w:val="00D96FFB"/>
    <w:rsid w:val="00DA72E0"/>
    <w:rsid w:val="00DD1B59"/>
    <w:rsid w:val="00DD54A7"/>
    <w:rsid w:val="00DE2A19"/>
    <w:rsid w:val="00E14BBF"/>
    <w:rsid w:val="00EB07E4"/>
    <w:rsid w:val="00EB0ABF"/>
    <w:rsid w:val="00FE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2</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74</cp:revision>
  <dcterms:created xsi:type="dcterms:W3CDTF">2017-04-18T11:34:00Z</dcterms:created>
  <dcterms:modified xsi:type="dcterms:W3CDTF">2017-04-19T02:31:00Z</dcterms:modified>
</cp:coreProperties>
</file>