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rsidR="00AC069D" w:rsidRDefault="00AC069D" w:rsidP="005C04C4"/>
          <w:p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rsidR="00AC1706" w:rsidRDefault="00AC1706" w:rsidP="005C04C4"/>
          <w:p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F2210F" w:rsidRDefault="00F2210F" w:rsidP="005C04C4"/>
          <w:p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w:t>
            </w:r>
            <w:r w:rsidR="00701316">
              <w:t xml:space="preserve">alias </w:t>
            </w:r>
            <w:r w:rsidR="00701316">
              <w:t>in SELECT can’t be referred to in SELECT)</w:t>
            </w:r>
            <w:r w:rsidR="00F40151">
              <w:t>.</w:t>
            </w:r>
            <w:bookmarkStart w:id="0" w:name="_GoBack"/>
            <w:bookmarkEnd w:id="0"/>
          </w:p>
          <w:p w:rsidR="00E02AC1" w:rsidRDefault="00E02AC1"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rsidR="00E05C09" w:rsidRDefault="00E05C09" w:rsidP="00850C40">
            <w:pPr>
              <w:rPr>
                <w:b/>
              </w:rPr>
            </w:pPr>
          </w:p>
          <w:p w:rsidR="00D15379" w:rsidRDefault="00E8380C" w:rsidP="00850C40">
            <w:r>
              <w:t>-</w:t>
            </w:r>
            <w:r w:rsidR="00A34E16">
              <w:t>a</w:t>
            </w:r>
            <w:r w:rsidR="00E05C09" w:rsidRPr="00E05C09">
              <w:t>c.</w:t>
            </w:r>
            <w:r w:rsidR="004B16EE">
              <w:t xml:space="preserve"> Context changes the meaning of numbers in queries.</w:t>
            </w:r>
          </w:p>
          <w:p w:rsidR="00D15379" w:rsidRDefault="00D15379" w:rsidP="00850C40"/>
          <w:p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rsidR="00167C55" w:rsidRDefault="00167C55" w:rsidP="00850C40"/>
          <w:p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rsidR="00355553" w:rsidRDefault="00355553" w:rsidP="00850C40">
            <w:pPr>
              <w:rPr>
                <w:b/>
              </w:rPr>
            </w:pPr>
          </w:p>
          <w:p w:rsidR="00355553" w:rsidRPr="00F40EEA" w:rsidRDefault="00355553" w:rsidP="00850C40">
            <w:pPr>
              <w:rPr>
                <w:b/>
              </w:rPr>
            </w:pP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lastRenderedPageBreak/>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lastRenderedPageBreak/>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lastRenderedPageBreak/>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lastRenderedPageBreak/>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lastRenderedPageBreak/>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lastRenderedPageBreak/>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lastRenderedPageBreak/>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lastRenderedPageBreak/>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rsidR="00CD387D" w:rsidRDefault="00CD387D" w:rsidP="002610BC">
            <w:pPr>
              <w:autoSpaceDE w:val="0"/>
              <w:autoSpaceDN w:val="0"/>
              <w:adjustRightInd w:val="0"/>
              <w:rPr>
                <w:rFonts w:ascii="Consolas" w:hAnsi="Consolas" w:cs="Consolas"/>
                <w:color w:val="008000"/>
                <w:sz w:val="16"/>
                <w:szCs w:val="16"/>
              </w:rPr>
            </w:pPr>
          </w:p>
          <w:p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rsidR="00CA6F6B" w:rsidRDefault="00CA6F6B"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Default="004A7E73" w:rsidP="0072503E">
            <w:pPr>
              <w:autoSpaceDE w:val="0"/>
              <w:autoSpaceDN w:val="0"/>
              <w:adjustRightInd w:val="0"/>
              <w:rPr>
                <w:rFonts w:ascii="Consolas" w:hAnsi="Consolas" w:cs="Consolas"/>
                <w:sz w:val="16"/>
                <w:szCs w:val="16"/>
              </w:rPr>
            </w:pPr>
          </w:p>
          <w:p w:rsidR="008236A8" w:rsidRDefault="008236A8" w:rsidP="008236A8">
            <w:pPr>
              <w:autoSpaceDE w:val="0"/>
              <w:autoSpaceDN w:val="0"/>
              <w:adjustRightInd w:val="0"/>
              <w:rPr>
                <w:rFonts w:ascii="Consolas" w:hAnsi="Consolas" w:cs="Consolas"/>
                <w:color w:val="000000"/>
                <w:sz w:val="19"/>
                <w:szCs w:val="19"/>
              </w:rPr>
            </w:pP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lastRenderedPageBreak/>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rsidR="00570D17" w:rsidRDefault="00570D17" w:rsidP="008236A8">
            <w:pPr>
              <w:pBdr>
                <w:bottom w:val="single" w:sz="6" w:space="1" w:color="auto"/>
              </w:pBdr>
              <w:autoSpaceDE w:val="0"/>
              <w:autoSpaceDN w:val="0"/>
              <w:adjustRightInd w:val="0"/>
              <w:rPr>
                <w:rFonts w:ascii="Consolas" w:hAnsi="Consolas" w:cs="Consolas"/>
                <w:sz w:val="16"/>
                <w:szCs w:val="16"/>
              </w:rPr>
            </w:pPr>
          </w:p>
          <w:p w:rsidR="00570D17" w:rsidRPr="00570D17" w:rsidRDefault="00570D17" w:rsidP="008236A8">
            <w:pPr>
              <w:autoSpaceDE w:val="0"/>
              <w:autoSpaceDN w:val="0"/>
              <w:adjustRightInd w:val="0"/>
              <w:rPr>
                <w:rFonts w:ascii="Consolas" w:hAnsi="Consolas" w:cs="Consolas"/>
                <w:sz w:val="16"/>
                <w:szCs w:val="16"/>
              </w:rPr>
            </w:pPr>
          </w:p>
          <w:p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rsidR="008B6BFE" w:rsidRPr="00FA0732" w:rsidRDefault="008B6BFE" w:rsidP="008236A8">
            <w:pPr>
              <w:autoSpaceDE w:val="0"/>
              <w:autoSpaceDN w:val="0"/>
              <w:adjustRightInd w:val="0"/>
              <w:rPr>
                <w:sz w:val="16"/>
                <w:szCs w:val="16"/>
              </w:rPr>
            </w:pP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7C5426" w:rsidRPr="00FA0732" w:rsidRDefault="007C5426" w:rsidP="00AE547C">
            <w:pPr>
              <w:autoSpaceDE w:val="0"/>
              <w:autoSpaceDN w:val="0"/>
              <w:adjustRightInd w:val="0"/>
              <w:rPr>
                <w:rFonts w:ascii="Consolas" w:hAnsi="Consolas" w:cs="Consolas"/>
                <w:color w:val="000000"/>
                <w:sz w:val="16"/>
                <w:szCs w:val="16"/>
              </w:rPr>
            </w:pPr>
          </w:p>
          <w:p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rsidR="00FA0732" w:rsidRPr="00FA0732" w:rsidRDefault="00FA0732" w:rsidP="00AE547C">
            <w:pPr>
              <w:autoSpaceDE w:val="0"/>
              <w:autoSpaceDN w:val="0"/>
              <w:adjustRightInd w:val="0"/>
              <w:rPr>
                <w:sz w:val="16"/>
                <w:szCs w:val="16"/>
              </w:rPr>
            </w:pPr>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rsidR="00570D17" w:rsidRPr="00B6130B" w:rsidRDefault="00570D17" w:rsidP="008236A8">
            <w:pPr>
              <w:autoSpaceDE w:val="0"/>
              <w:autoSpaceDN w:val="0"/>
              <w:adjustRightInd w:val="0"/>
              <w:rPr>
                <w:rFonts w:ascii="Consolas" w:hAnsi="Consolas" w:cs="Consolas"/>
                <w:sz w:val="16"/>
                <w:szCs w:val="16"/>
              </w:rPr>
            </w:pP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lastRenderedPageBreak/>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lastRenderedPageBreak/>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F32"/>
    <w:rsid w:val="003F2C17"/>
    <w:rsid w:val="003F52A4"/>
    <w:rsid w:val="003F663E"/>
    <w:rsid w:val="003F6C35"/>
    <w:rsid w:val="003F7D69"/>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7318"/>
    <w:rsid w:val="006B2491"/>
    <w:rsid w:val="006B3235"/>
    <w:rsid w:val="006C06A0"/>
    <w:rsid w:val="006C0AB1"/>
    <w:rsid w:val="006D1C95"/>
    <w:rsid w:val="006D5E04"/>
    <w:rsid w:val="006D6550"/>
    <w:rsid w:val="006E1CA4"/>
    <w:rsid w:val="006E668E"/>
    <w:rsid w:val="006F0401"/>
    <w:rsid w:val="006F0EA4"/>
    <w:rsid w:val="006F783B"/>
    <w:rsid w:val="00701316"/>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49BC"/>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60696"/>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7"/>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7896-8DF9-462A-9A69-4A634C84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54804</TotalTime>
  <Pages>14</Pages>
  <Words>9341</Words>
  <Characters>53250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1143</cp:revision>
  <dcterms:created xsi:type="dcterms:W3CDTF">2018-02-02T03:46:00Z</dcterms:created>
  <dcterms:modified xsi:type="dcterms:W3CDTF">2020-07-28T01:20:00Z</dcterms:modified>
</cp:coreProperties>
</file>