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SELECT and ORDER BY clauses</w:t>
      </w:r>
      <w:r w:rsidR="00D12730">
        <w:rPr>
          <w:rFonts w:ascii="SegoeBlack" w:hAnsi="SegoeBlack" w:cs="SegoeBlack"/>
          <w:color w:val="333333"/>
          <w:sz w:val="17"/>
          <w:szCs w:val="17"/>
        </w:rPr>
        <w:t>(5 and 6)</w:t>
      </w:r>
      <w:bookmarkStart w:id="0" w:name="_GoBack"/>
      <w:bookmarkEnd w:id="0"/>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P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xml:space="preserve">. Note that </w:t>
            </w:r>
            <w:r w:rsidR="00320352">
              <w:lastRenderedPageBreak/>
              <w:t>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lastRenderedPageBreak/>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So a result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w:t>
            </w:r>
            <w:r w:rsidR="008E3AEB">
              <w:lastRenderedPageBreak/>
              <w:t xml:space="preserve">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lastRenderedPageBreak/>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r>
              <w:lastRenderedPageBreak/>
              <w:t>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--NOT TRUE since we have a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lastRenderedPageBreak/>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lastRenderedPageBreak/>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225B"/>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60088"/>
    <w:rsid w:val="00764804"/>
    <w:rsid w:val="00765508"/>
    <w:rsid w:val="00765A6C"/>
    <w:rsid w:val="00767A9E"/>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369D"/>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21978</TotalTime>
  <Pages>9</Pages>
  <Words>5136</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611</cp:revision>
  <dcterms:created xsi:type="dcterms:W3CDTF">2018-02-02T03:46:00Z</dcterms:created>
  <dcterms:modified xsi:type="dcterms:W3CDTF">2018-08-15T04:34:00Z</dcterms:modified>
</cp:coreProperties>
</file>