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proofErr w:type="spellStart"/>
            <w:r w:rsidR="00064D96">
              <w:t>alst</w:t>
            </w:r>
            <w:proofErr w:type="spellEnd"/>
            <w:r w:rsidR="00064D96">
              <w:t xml:space="preserve">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374C9" w:rsidRDefault="001374C9"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1374C9" w:rsidRDefault="001374C9"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w:t>
            </w:r>
            <w:r w:rsidR="005C3AD2">
              <w:rPr>
                <w:rFonts w:ascii="Consolas" w:hAnsi="Consolas" w:cs="Consolas"/>
                <w:color w:val="008000"/>
                <w:sz w:val="16"/>
                <w:szCs w:val="16"/>
              </w:rPr>
              <w:lastRenderedPageBreak/>
              <w:t xml:space="preserve">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lastRenderedPageBreak/>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lastRenderedPageBreak/>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lastRenderedPageBreak/>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lastRenderedPageBreak/>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lastRenderedPageBreak/>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85611C" w:rsidRDefault="0085611C" w:rsidP="00476BC2">
            <w:pPr>
              <w:autoSpaceDE w:val="0"/>
              <w:autoSpaceDN w:val="0"/>
              <w:adjustRightInd w:val="0"/>
              <w:rPr>
                <w:rFonts w:ascii="Consolas" w:hAnsi="Consolas" w:cs="Consolas"/>
                <w:color w:val="0000FF"/>
                <w:sz w:val="16"/>
                <w:szCs w:val="16"/>
              </w:rPr>
            </w:pPr>
            <w:r w:rsidRPr="00B261D3">
              <w:rPr>
                <w:rFonts w:ascii="Consolas" w:hAnsi="Consolas" w:cs="Consolas"/>
                <w:color w:val="008000"/>
                <w:sz w:val="16"/>
                <w:szCs w:val="16"/>
              </w:rPr>
              <w:t>--</w:t>
            </w:r>
            <w:r>
              <w:rPr>
                <w:rFonts w:ascii="Consolas" w:hAnsi="Consolas" w:cs="Consolas"/>
                <w:color w:val="008000"/>
                <w:sz w:val="16"/>
                <w:szCs w:val="16"/>
              </w:rPr>
              <w:t xml:space="preserve">simulating </w:t>
            </w:r>
            <w:proofErr w:type="spellStart"/>
            <w:r>
              <w:rPr>
                <w:rFonts w:ascii="Consolas" w:hAnsi="Consolas" w:cs="Consolas"/>
                <w:color w:val="008000"/>
                <w:sz w:val="16"/>
                <w:szCs w:val="16"/>
              </w:rPr>
              <w:t>row_number</w:t>
            </w:r>
            <w:proofErr w:type="spellEnd"/>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lastRenderedPageBreak/>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bookmarkStart w:id="0" w:name="_GoBack"/>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bookmarkEnd w:id="0"/>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lastRenderedPageBreak/>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lastRenderedPageBreak/>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0A9"/>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7E6"/>
    <w:rsid w:val="003E1993"/>
    <w:rsid w:val="003E267A"/>
    <w:rsid w:val="003E6C84"/>
    <w:rsid w:val="003F0F32"/>
    <w:rsid w:val="003F2C17"/>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62A4"/>
    <w:rsid w:val="00437BDC"/>
    <w:rsid w:val="00440E29"/>
    <w:rsid w:val="00441536"/>
    <w:rsid w:val="0044286A"/>
    <w:rsid w:val="00446F1C"/>
    <w:rsid w:val="00447470"/>
    <w:rsid w:val="004526F5"/>
    <w:rsid w:val="004548D6"/>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5F72A7"/>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13EE"/>
    <w:rsid w:val="006773E9"/>
    <w:rsid w:val="00677CCE"/>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1C95"/>
    <w:rsid w:val="006D6550"/>
    <w:rsid w:val="006E1CA4"/>
    <w:rsid w:val="006E668E"/>
    <w:rsid w:val="006F0401"/>
    <w:rsid w:val="006F0EA4"/>
    <w:rsid w:val="006F783B"/>
    <w:rsid w:val="00704AB8"/>
    <w:rsid w:val="00704C78"/>
    <w:rsid w:val="00704E61"/>
    <w:rsid w:val="00710DBE"/>
    <w:rsid w:val="00713C3A"/>
    <w:rsid w:val="00713E81"/>
    <w:rsid w:val="007215DB"/>
    <w:rsid w:val="00730FB9"/>
    <w:rsid w:val="007312AE"/>
    <w:rsid w:val="00734820"/>
    <w:rsid w:val="00741694"/>
    <w:rsid w:val="00743DDD"/>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5F70"/>
    <w:rsid w:val="00843117"/>
    <w:rsid w:val="00850C40"/>
    <w:rsid w:val="0085611C"/>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27F43"/>
    <w:rsid w:val="00935F7C"/>
    <w:rsid w:val="009406B6"/>
    <w:rsid w:val="00943517"/>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5156"/>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E3926"/>
    <w:rsid w:val="00BF0140"/>
    <w:rsid w:val="00BF2A66"/>
    <w:rsid w:val="00BF355F"/>
    <w:rsid w:val="00C00A45"/>
    <w:rsid w:val="00C01728"/>
    <w:rsid w:val="00C051F6"/>
    <w:rsid w:val="00C058E9"/>
    <w:rsid w:val="00C13F59"/>
    <w:rsid w:val="00C15DDC"/>
    <w:rsid w:val="00C21A49"/>
    <w:rsid w:val="00C22248"/>
    <w:rsid w:val="00C27009"/>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0726C"/>
    <w:rsid w:val="00E10D7B"/>
    <w:rsid w:val="00E14527"/>
    <w:rsid w:val="00E227DF"/>
    <w:rsid w:val="00E22B20"/>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0EEA"/>
    <w:rsid w:val="00F4744A"/>
    <w:rsid w:val="00F535EF"/>
    <w:rsid w:val="00F65428"/>
    <w:rsid w:val="00F65D36"/>
    <w:rsid w:val="00F7194C"/>
    <w:rsid w:val="00F72AF4"/>
    <w:rsid w:val="00F76B5C"/>
    <w:rsid w:val="00F800EB"/>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B6CE5"/>
    <w:rsid w:val="00FC03E3"/>
    <w:rsid w:val="00FC29CC"/>
    <w:rsid w:val="00FC4D42"/>
    <w:rsid w:val="00FC7870"/>
    <w:rsid w:val="00FD1287"/>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1AFE"/>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000F2-A60E-49F2-BA33-6CD0AAD58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34006</TotalTime>
  <Pages>13</Pages>
  <Words>7978</Words>
  <Characters>45479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906</cp:revision>
  <dcterms:created xsi:type="dcterms:W3CDTF">2018-02-02T03:46:00Z</dcterms:created>
  <dcterms:modified xsi:type="dcterms:W3CDTF">2020-03-24T00:00:00Z</dcterms:modified>
</cp:coreProperties>
</file>