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DC0FFA"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DC0FFA"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in case of </w:t>
      </w:r>
      <w:r w:rsidR="002A749E">
        <w:t>correlated</w:t>
      </w:r>
      <w:r w:rsidR="005528FC">
        <w:t xml:space="preserve"> CROSS APPY, 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t>instead?</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Anti Semi JOIN</w:t>
      </w:r>
      <w:r w:rsidR="00113907">
        <w:t xml:space="preserve"> is when you return columns from one table if matching rows cannot be found in the related table</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Also note that there is no duplication of  customer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D1161E">
      <w:pPr>
        <w:pStyle w:val="NoSpacing"/>
        <w:pBdr>
          <w:bottom w:val="double" w:sz="6" w:space="1" w:color="auto"/>
        </w:pBdr>
      </w:pPr>
      <w:r>
        <w:t>-there are some performance deficiencies with using window aggregate functions without a frame</w:t>
      </w:r>
      <w:r w:rsidR="009B137A">
        <w:t xml:space="preserve">, </w:t>
      </w:r>
      <w:r w:rsidR="009B137A">
        <w:t>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D1161E">
      <w:pPr>
        <w:pStyle w:val="NoSpacing"/>
        <w:pBdr>
          <w:bottom w:val="double" w:sz="6" w:space="1" w:color="auto"/>
        </w:pBdr>
      </w:pPr>
      <w:r>
        <w:t xml:space="preserve">-partition is like a group. A frame is </w:t>
      </w:r>
      <w:r w:rsidR="00DC0FFA">
        <w:t>a filter on the partition.</w:t>
      </w:r>
      <w:bookmarkStart w:id="0" w:name="_GoBack"/>
      <w:bookmarkEnd w:id="0"/>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lastRenderedPageBreak/>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402A3"/>
    <w:rsid w:val="003402BA"/>
    <w:rsid w:val="0034657A"/>
    <w:rsid w:val="003469C5"/>
    <w:rsid w:val="003517CB"/>
    <w:rsid w:val="00351F59"/>
    <w:rsid w:val="00354387"/>
    <w:rsid w:val="00356BA8"/>
    <w:rsid w:val="00357033"/>
    <w:rsid w:val="00357538"/>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5EB9"/>
    <w:rsid w:val="00CE7676"/>
    <w:rsid w:val="00CF12C2"/>
    <w:rsid w:val="00CF3708"/>
    <w:rsid w:val="00CF5062"/>
    <w:rsid w:val="00CF5727"/>
    <w:rsid w:val="00CF625C"/>
    <w:rsid w:val="00CF758C"/>
    <w:rsid w:val="00D0007B"/>
    <w:rsid w:val="00D03FCD"/>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2F4B"/>
    <w:rsid w:val="00EB3788"/>
    <w:rsid w:val="00EB4E05"/>
    <w:rsid w:val="00EB5A05"/>
    <w:rsid w:val="00EC02A8"/>
    <w:rsid w:val="00EC4DF0"/>
    <w:rsid w:val="00EC5488"/>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F00C-4468-482F-B469-F8F391EE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27073</TotalTime>
  <Pages>7</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1127</cp:revision>
  <dcterms:created xsi:type="dcterms:W3CDTF">2017-04-05T20:53:00Z</dcterms:created>
  <dcterms:modified xsi:type="dcterms:W3CDTF">2017-10-31T03:13:00Z</dcterms:modified>
</cp:coreProperties>
</file>