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png" ContentType="image/png"/>
  <Override PartName="/word/media/image7.png" ContentType="image/png"/>
  <Override PartName="/word/media/image12.jpeg" ContentType="image/jpeg"/>
  <Override PartName="/word/media/image8.png" ContentType="image/png"/>
  <Override PartName="/word/media/image9.jpeg" ContentType="image/jpeg"/>
  <Override PartName="/word/media/image11.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true"/>
        <w:keepLines/>
        <w:bidi w:val="0"/>
        <w:spacing w:before="202" w:after="115"/>
        <w:jc w:val="left"/>
        <w:rPr/>
      </w:pPr>
      <w:r>
        <w:drawing>
          <wp:anchor behindDoc="0" distT="0" distB="0" distL="0" distR="0" simplePos="0" locked="0" layoutInCell="0" allowOverlap="1" relativeHeight="7">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w:t>
      </w:r>
      <w:r>
        <w:rPr/>
        <w:t>like</w:t>
      </w:r>
      <w:r>
        <w:rPr/>
        <w:t xml:space="preserve"> the </w:t>
      </w:r>
      <w:hyperlink r:id="rId5">
        <w:r>
          <w:rPr>
            <w:rStyle w:val="Hyperlink"/>
          </w:rPr>
          <w:t>Texas Bullion Depository</w:t>
        </w:r>
      </w:hyperlink>
      <w:r>
        <w:rPr/>
        <w:t xml:space="preserve"> established in 2015.  The first part is the currency itself including </w:t>
      </w:r>
      <w:r>
        <w:rPr/>
        <w:t xml:space="preserve">history, </w:t>
      </w:r>
      <w:r>
        <w:rPr/>
        <w:t xml:space="preserve">justification </w:t>
      </w:r>
      <w:r>
        <w:rPr/>
        <w:t>and legislation</w:t>
      </w:r>
      <w:r>
        <w:rPr/>
        <w:t xml:space="preserve">‚ the second is a development strategy‚ the third adds flexible </w:t>
      </w:r>
      <w:r>
        <w:rPr/>
        <w:t>exchange rates</w:t>
      </w:r>
      <w:r>
        <w:rPr/>
        <w:t xml:space="preserve"> between participating States.</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a State-regulated digital currency driven by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currency exchange system</w:t>
        </w:r>
      </w:hyperlink>
      <w:r>
        <w:rPr/>
        <w:t xml:space="preserve"> similar to the BRICS attempt to compete with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corporate sponsorship. etc.  I’ve had an ongoing interest in this since 1994, I believe in it and have the skill and knowledge to make happen.  </w:t>
      </w:r>
      <w:hyperlink r:id="rId9">
        <w:r>
          <w:rPr>
            <w:rStyle w:val="Hyperlink"/>
            <w:b w:val="false"/>
            <w:bCs w:val="false"/>
          </w:rPr>
          <w:t xml:space="preserve">My background is quite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drawing>
          <wp:inline distT="0" distB="0" distL="0" distR="0">
            <wp:extent cx="4881245" cy="266763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10"/>
                    <a:stretch>
                      <a:fillRect/>
                    </a:stretch>
                  </pic:blipFill>
                  <pic:spPr bwMode="auto">
                    <a:xfrm>
                      <a:off x="0" y="0"/>
                      <a:ext cx="4881245" cy="2667635"/>
                    </a:xfrm>
                    <a:prstGeom prst="rect">
                      <a:avLst/>
                    </a:prstGeom>
                  </pic:spPr>
                </pic:pic>
              </a:graphicData>
            </a:graphic>
          </wp:inline>
        </w:drawing>
      </w:r>
    </w:p>
    <w:p>
      <w:pPr>
        <w:pStyle w:val="Heading3"/>
        <w:bidi w:val="0"/>
        <w:jc w:val="left"/>
        <w:rPr/>
      </w:pPr>
      <w:r>
        <w:rPr>
          <w:b/>
        </w:rPr>
        <w:t>Interest Payments</w:t>
      </w:r>
    </w:p>
    <w:p>
      <w:pPr>
        <w:pStyle w:val="Normal"/>
        <w:bidi w:val="0"/>
        <w:jc w:val="left"/>
        <w:rPr/>
      </w:pPr>
      <w:r>
        <w:rPr/>
        <w:t xml:space="preserve">The current rate of increase in </w:t>
      </w:r>
      <w:hyperlink r:id="rId11">
        <w:r>
          <w:rPr>
            <w:rStyle w:val="Hyperlink"/>
          </w:rPr>
          <w:t>Federal debt interest payments</w:t>
        </w:r>
      </w:hyperlink>
      <w:r>
        <w:rPr/>
        <w:t xml:space="preserve"> is unsustainable.</w:t>
      </w:r>
    </w:p>
    <w:p>
      <w:pPr>
        <w:pStyle w:val="Normal"/>
        <w:bidi w:val="0"/>
        <w:jc w:val="left"/>
        <w:rPr/>
      </w:pPr>
      <w:r>
        <w:rPr/>
        <w:drawing>
          <wp:inline distT="0" distB="0" distL="0" distR="0">
            <wp:extent cx="5711190" cy="268097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2"/>
                    <a:stretch>
                      <a:fillRect/>
                    </a:stretch>
                  </pic:blipFill>
                  <pic:spPr bwMode="auto">
                    <a:xfrm>
                      <a:off x="0" y="0"/>
                      <a:ext cx="5711190" cy="2680970"/>
                    </a:xfrm>
                    <a:prstGeom prst="rect">
                      <a:avLst/>
                    </a:prstGeom>
                  </pic:spPr>
                </pic:pic>
              </a:graphicData>
            </a:graphic>
          </wp:inline>
        </w:drawing>
      </w:r>
    </w:p>
    <w:p>
      <w:pPr>
        <w:pStyle w:val="Normal"/>
        <w:bidi w:val="0"/>
        <w:jc w:val="left"/>
        <w:rPr/>
      </w:pPr>
      <w:r>
        <w:rPr/>
        <w:t>Federal Interest Payments</w:t>
      </w:r>
    </w:p>
    <w:p>
      <w:pPr>
        <w:pStyle w:val="Normal"/>
        <w:bidi w:val="0"/>
        <w:jc w:val="left"/>
        <w:rPr/>
      </w:pPr>
      <w:r>
        <w:rPr/>
      </w:r>
    </w:p>
    <w:p>
      <w:pPr>
        <w:pStyle w:val="Heading3"/>
        <w:bidi w:val="0"/>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The inevitable return of higher rates will be disastrous for the current debt.</w:t>
      </w:r>
      <w:r>
        <w:rPr/>
        <w:drawing>
          <wp:inline distT="0" distB="0" distL="0" distR="0">
            <wp:extent cx="5473065" cy="373951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3"/>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drawing>
          <wp:inline distT="0" distB="0" distL="0" distR="0">
            <wp:extent cx="5924550" cy="18288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4"/>
                    <a:stretch>
                      <a:fillRect/>
                    </a:stretch>
                  </pic:blipFill>
                  <pic:spPr bwMode="auto">
                    <a:xfrm>
                      <a:off x="0" y="0"/>
                      <a:ext cx="5924550" cy="1828800"/>
                    </a:xfrm>
                    <a:prstGeom prst="rect">
                      <a:avLst/>
                    </a:prstGeom>
                  </pic:spPr>
                </pic:pic>
              </a:graphicData>
            </a:graphic>
          </wp:inline>
        </w:drawing>
      </w:r>
    </w:p>
    <w:p>
      <w:pPr>
        <w:pStyle w:val="Heading3"/>
        <w:bidi w:val="0"/>
        <w:jc w:val="left"/>
        <w:rPr>
          <w:b/>
        </w:rPr>
      </w:pPr>
      <w:r>
        <w:rPr>
          <w:b/>
        </w:rPr>
      </w:r>
    </w:p>
    <w:p>
      <w:pPr>
        <w:pStyle w:val="Normal"/>
        <w:bidi w:val="0"/>
        <w:jc w:val="left"/>
        <w:rPr/>
      </w:pPr>
      <w:r>
        <w:rPr/>
        <w:br/>
        <w:br/>
      </w:r>
    </w:p>
    <w:p>
      <w:pPr>
        <w:pStyle w:val="Normal"/>
        <w:bidi w:val="0"/>
        <w:jc w:val="left"/>
        <w:rPr/>
      </w:pPr>
      <w:r>
        <w:rPr/>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5">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92240" cy="295084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13">
            <wp:simplePos x="0" y="0"/>
            <wp:positionH relativeFrom="column">
              <wp:posOffset>45720</wp:posOffset>
            </wp:positionH>
            <wp:positionV relativeFrom="paragraph">
              <wp:posOffset>173990</wp:posOffset>
            </wp:positionV>
            <wp:extent cx="6894830" cy="295338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7"/>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Previous Depository Legislation</w:t>
      </w:r>
    </w:p>
    <w:p>
      <w:pPr>
        <w:pStyle w:val="Normal"/>
        <w:bidi w:val="0"/>
        <w:jc w:val="left"/>
        <w:rPr/>
      </w:pPr>
      <w:r>
        <w:rPr>
          <w:b/>
        </w:rPr>
        <w:t>Texas Bullion Depository Bill</w:t>
      </w:r>
      <w:r>
        <w:rPr/>
        <w:t xml:space="preserve"> - signed into law in 2015 and authorized the creation of a state bullion depository.</w:t>
      </w:r>
    </w:p>
    <w:p>
      <w:pPr>
        <w:pStyle w:val="Normal"/>
        <w:bidi w:val="0"/>
        <w:jc w:val="left"/>
        <w:rPr/>
      </w:pPr>
      <w:r>
        <w:rPr/>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r>
    </w:p>
    <w:p>
      <w:pPr>
        <w:pStyle w:val="Normal"/>
        <w:bidi w:val="0"/>
        <w:jc w:val="left"/>
        <w:rPr/>
      </w:pPr>
      <w:r>
        <w:rPr>
          <w:b/>
        </w:rPr>
        <w:t>Utah Sound Money Amendments</w:t>
      </w:r>
      <w:r>
        <w:rPr/>
        <w:t xml:space="preserve"> - introduced in </w:t>
      </w:r>
      <w:r>
        <w:rPr>
          <w:b/>
        </w:rPr>
        <w:t>2021</w:t>
      </w:r>
      <w:r>
        <w:rPr/>
        <w:t xml:space="preserve"> that would authorize the creation of a state bullion depository.</w:t>
      </w:r>
    </w:p>
    <w:p>
      <w:pPr>
        <w:pStyle w:val="Normal"/>
        <w:bidi w:val="0"/>
        <w:jc w:val="left"/>
        <w:rPr/>
      </w:pPr>
      <w:r>
        <w:rPr/>
      </w:r>
    </w:p>
    <w:p>
      <w:pPr>
        <w:pStyle w:val="Normal"/>
        <w:bidi w:val="0"/>
        <w:jc w:val="left"/>
        <w:rPr/>
      </w:pPr>
      <w:r>
        <w:rPr>
          <w:b/>
        </w:rPr>
        <w:t>Kentucky Precious Metals Depository Act</w:t>
      </w:r>
      <w:r>
        <w:rPr/>
        <w:t xml:space="preserve"> - introduced in </w:t>
      </w:r>
      <w:r>
        <w:rPr>
          <w:b/>
        </w:rPr>
        <w:t>2021</w:t>
      </w:r>
      <w:r>
        <w:rPr/>
        <w:t xml:space="preserve"> to authorize the creation of a state-run precious metals depository.</w:t>
      </w:r>
    </w:p>
    <w:p>
      <w:pPr>
        <w:pStyle w:val="Normal"/>
        <w:bidi w:val="0"/>
        <w:jc w:val="left"/>
        <w:rPr/>
      </w:pPr>
      <w:r>
        <w:rPr/>
      </w:r>
    </w:p>
    <w:p>
      <w:pPr>
        <w:pStyle w:val="Normal"/>
        <w:bidi w:val="0"/>
        <w:jc w:val="left"/>
        <w:rPr/>
      </w:pPr>
      <w:r>
        <w:rPr>
          <w:b/>
        </w:rPr>
        <w:t>Wyoming bullion depository, 2020</w:t>
      </w:r>
      <w:r>
        <w:rPr/>
        <w:t xml:space="preserve"> - provided for the creation and administration of the Wyoming bullion depository</w:t>
      </w:r>
    </w:p>
    <w:p>
      <w:pPr>
        <w:pStyle w:val="Normal"/>
        <w:bidi w:val="0"/>
        <w:jc w:val="left"/>
        <w:rPr>
          <w:b/>
        </w:rPr>
      </w:pPr>
      <w:r>
        <w:rPr>
          <w:b/>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regional currency would be controlled regionally.</w:t>
      </w:r>
    </w:p>
    <w:p>
      <w:pPr>
        <w:pStyle w:val="Normal"/>
        <w:bidi w:val="0"/>
        <w:jc w:val="left"/>
        <w:rPr/>
      </w:pPr>
      <w:r>
        <w:drawing>
          <wp:anchor behindDoc="0" distT="0" distB="0" distL="0" distR="0" simplePos="0" locked="0" layoutInCell="0" allowOverlap="1" relativeHeight="8">
            <wp:simplePos x="0" y="0"/>
            <wp:positionH relativeFrom="column">
              <wp:posOffset>0</wp:posOffset>
            </wp:positionH>
            <wp:positionV relativeFrom="paragraph">
              <wp:posOffset>152400</wp:posOffset>
            </wp:positionV>
            <wp:extent cx="6492240" cy="40106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8"/>
                    <a:stretch>
                      <a:fillRect/>
                    </a:stretch>
                  </pic:blipFill>
                  <pic:spPr bwMode="auto">
                    <a:xfrm>
                      <a:off x="0" y="0"/>
                      <a:ext cx="6492240" cy="4010660"/>
                    </a:xfrm>
                    <a:prstGeom prst="rect">
                      <a:avLst/>
                    </a:prstGeom>
                  </pic:spPr>
                </pic:pic>
              </a:graphicData>
            </a:graphic>
          </wp:anchor>
        </w:drawing>
      </w:r>
      <w:r>
        <w:rPr/>
        <w:br/>
      </w:r>
      <w:r>
        <w:br w:type="page"/>
      </w:r>
    </w:p>
    <w:p>
      <w:pPr>
        <w:pStyle w:val="Heading3"/>
        <w:bidi w:val="0"/>
        <w:spacing w:before="0" w:after="115"/>
        <w:jc w:val="left"/>
        <w:rPr/>
      </w:pPr>
      <w:r>
        <w:rPr>
          <w:color w:val="00A933"/>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9"/>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Normal"/>
        <w:bidi w:val="0"/>
        <w:jc w:val="left"/>
        <w:rPr/>
      </w:pPr>
      <w:r>
        <w:rPr/>
        <w:t>More information on</w:t>
      </w:r>
      <w:hyperlink r:id="rId20">
        <w:r>
          <w:rPr>
            <w:rStyle w:val="Hyperlink"/>
          </w:rPr>
          <w:t xml:space="preserve"> technical details</w:t>
        </w:r>
      </w:hyperlink>
      <w:r>
        <w:rPr/>
        <w:br/>
        <w:t xml:space="preserve">More information on </w:t>
      </w:r>
      <w:hyperlink r:id="rId21">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3"/>
        <w:bidi w:val="0"/>
        <w:spacing w:before="0" w:after="115"/>
        <w:jc w:val="left"/>
        <w:rPr/>
      </w:pPr>
      <w:r>
        <w:rPr>
          <w:color w:val="00A933"/>
        </w:rPr>
        <w:t>TWG Proposal (Technical Working Group)</w:t>
      </w:r>
      <w:r>
        <w:rPr/>
        <w:t xml:space="preserve"> </w:t>
      </w:r>
    </w:p>
    <w:p>
      <w:pPr>
        <w:pStyle w:val="Normal"/>
        <w:bidi w:val="0"/>
        <w:jc w:val="left"/>
        <w:rPr/>
      </w:pPr>
      <w:hyperlink r:id="rId22">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534150" cy="390525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23"/>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24">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w:t>
      </w:r>
    </w:p>
    <w:p>
      <w:pPr>
        <w:pStyle w:val="Normal"/>
        <w:bidi w:val="0"/>
        <w:jc w:val="left"/>
        <w:rPr/>
      </w:pPr>
      <w:r>
        <w:rPr/>
      </w:r>
      <w:r>
        <w:br w:type="page"/>
      </w:r>
    </w:p>
    <w:p>
      <w:pPr>
        <w:pStyle w:val="Heading3"/>
        <w:bidi w:val="0"/>
        <w:spacing w:before="0" w:after="115"/>
        <w:jc w:val="left"/>
        <w:rPr/>
      </w:pPr>
      <w:r>
        <w:rPr>
          <w:color w:val="00A933"/>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283" w:left="375"/>
        <w:rPr>
          <w:rStyle w:val="Strong"/>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36410" cy="214630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25"/>
                    <a:stretch>
                      <a:fillRect/>
                    </a:stretch>
                  </pic:blipFill>
                  <pic:spPr bwMode="auto">
                    <a:xfrm>
                      <a:off x="0" y="0"/>
                      <a:ext cx="6836410" cy="2146300"/>
                    </a:xfrm>
                    <a:prstGeom prst="rect">
                      <a:avLst/>
                    </a:prstGeom>
                  </pic:spPr>
                </pic:pic>
              </a:graphicData>
            </a:graphic>
          </wp:anchor>
        </w:drawing>
      </w:r>
    </w:p>
    <w:p>
      <w:pPr>
        <w:pStyle w:val="Normal"/>
        <w:rPr>
          <w:rStyle w:val="Strong"/>
        </w:rPr>
      </w:pPr>
      <w:r>
        <w:rPr/>
      </w:r>
    </w:p>
    <w:p>
      <w:pPr>
        <w:pStyle w:val="Normal"/>
        <w:rPr/>
      </w:pPr>
      <w:r>
        <w:rPr>
          <w:rStyle w:val="Strong"/>
        </w:rPr>
        <w:t xml:space="preserve">CENTRALIZED </w:t>
      </w:r>
      <w:r>
        <w:rPr/>
        <w:br/>
        <w:t xml:space="preserve">This is the design of the Federal Reserve and the realms represent countries and States. It’s inflexible but efficient and scalable with a single point of control </w:t>
      </w:r>
      <w:r>
        <w:rPr/>
        <w:t xml:space="preserve">and authority </w:t>
      </w:r>
      <w:r>
        <w:rPr/>
        <w:t>(hub). Over 100 countries use it.</w:t>
      </w:r>
    </w:p>
    <w:p>
      <w:pPr>
        <w:pStyle w:val="Normal"/>
        <w:bidi w:val="0"/>
        <w:jc w:val="left"/>
        <w:rPr/>
      </w:pPr>
      <w:r>
        <w:rPr/>
      </w:r>
    </w:p>
    <w:p>
      <w:pPr>
        <w:pStyle w:val="Normal"/>
        <w:rPr/>
      </w:pPr>
      <w:r>
        <w:rPr>
          <w:rStyle w:val="Strong"/>
        </w:rPr>
        <w:t xml:space="preserve">POINT-TO-POINT </w:t>
      </w:r>
      <w:r>
        <w:rPr>
          <w:rStyle w:val="Strong"/>
        </w:rPr>
        <w:t>(PTP)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94830" cy="189928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6"/>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determining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27">
        <w:r>
          <w:rPr>
            <w:rStyle w:val="Hyperlink"/>
          </w:rPr>
          <w:t xml:space="preserve">small working software model of SXS </w:t>
        </w:r>
      </w:hyperlink>
      <w:r>
        <w:rPr/>
        <w:t>(in progress)</w:t>
      </w:r>
    </w:p>
    <w:p>
      <w:pPr>
        <w:pStyle w:val="Normal"/>
        <w:bidi w:val="0"/>
        <w:jc w:val="left"/>
        <w:rPr/>
      </w:pPr>
      <w:r>
        <w:rPr/>
        <w:t>https://github.com/broward/BRICS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28">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29">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w:t>
      </w:r>
      <w:r>
        <w:rPr>
          <w:b/>
        </w:rPr>
        <w:t>e</w:t>
      </w:r>
    </w:p>
    <w:p>
      <w:pPr>
        <w:pStyle w:val="ListParagraph"/>
        <w:numPr>
          <w:ilvl w:val="0"/>
          <w:numId w:val="0"/>
        </w:numPr>
        <w:ind w:hanging="0" w:left="420"/>
        <w:jc w:val="left"/>
        <w:rPr/>
      </w:pPr>
      <w:r>
        <w:rPr/>
        <w:t>Texas Depository, 2023 (</w:t>
      </w:r>
      <w:hyperlink r:id="rId30">
        <w:r>
          <w:rPr>
            <w:rStyle w:val="Hyperlink"/>
          </w:rPr>
          <w:t>https://broward.ghost.io/texas_depo</w:t>
        </w:r>
      </w:hyperlink>
      <w:hyperlink r:id="rId31">
        <w:r>
          <w:rPr/>
          <w:t>)</w:t>
        </w:r>
      </w:hyperlink>
    </w:p>
    <w:p>
      <w:pPr>
        <w:pStyle w:val="ListParagraph"/>
        <w:numPr>
          <w:ilvl w:val="0"/>
          <w:numId w:val="0"/>
        </w:numPr>
        <w:ind w:hanging="0" w:left="420"/>
        <w:jc w:val="left"/>
        <w:rPr/>
      </w:pPr>
      <w:r>
        <w:rPr/>
        <w:t>BRICS Currency System, 2023 (</w:t>
      </w:r>
      <w:hyperlink r:id="rId32">
        <w:r>
          <w:rPr>
            <w:rStyle w:val="Hyperlink"/>
          </w:rPr>
          <w:t>https://broward.ghost.io/BRICS</w:t>
        </w:r>
      </w:hyperlink>
      <w:r>
        <w:rPr/>
        <w:t>)</w:t>
      </w:r>
    </w:p>
    <w:p>
      <w:pPr>
        <w:pStyle w:val="ListParagraph"/>
        <w:numPr>
          <w:ilvl w:val="0"/>
          <w:numId w:val="0"/>
        </w:numPr>
        <w:ind w:hanging="0" w:left="420"/>
        <w:jc w:val="left"/>
        <w:rPr/>
      </w:pPr>
      <w:r>
        <w:rPr/>
        <w:t>AWS App Design, 2023 (</w:t>
      </w:r>
      <w:hyperlink r:id="rId33">
        <w:r>
          <w:rPr>
            <w:rStyle w:val="Hyperlink"/>
          </w:rPr>
          <w:t>https://broward.ghost.io/aws_app_1</w:t>
        </w:r>
      </w:hyperlink>
      <w:r>
        <w:rPr/>
        <w:t>)</w:t>
      </w:r>
    </w:p>
    <w:p>
      <w:pPr>
        <w:pStyle w:val="ListParagraph"/>
        <w:numPr>
          <w:ilvl w:val="0"/>
          <w:numId w:val="0"/>
        </w:numPr>
        <w:ind w:hanging="0" w:left="420"/>
        <w:jc w:val="left"/>
        <w:rPr/>
      </w:pPr>
      <w:r>
        <w:rPr/>
        <w:t>Stablecoin Hack, 2022 (</w:t>
      </w:r>
      <w:hyperlink r:id="rId34">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35">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36">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37">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38">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39">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40">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41">
        <w:r>
          <w:rPr>
            <w:rStyle w:val="Hyperlink"/>
          </w:rPr>
          <w:t>https://broward.ghost.io/digital_on_IoT</w:t>
        </w:r>
      </w:hyperlink>
      <w:hyperlink r:id="rId42">
        <w:r>
          <w:rPr/>
          <w:t>)</w:t>
        </w:r>
      </w:hyperlink>
    </w:p>
    <w:p>
      <w:pPr>
        <w:pStyle w:val="ListParagraph"/>
        <w:numPr>
          <w:ilvl w:val="0"/>
          <w:numId w:val="0"/>
        </w:numPr>
        <w:bidi w:val="0"/>
        <w:ind w:hanging="0" w:left="420"/>
        <w:jc w:val="left"/>
        <w:rPr/>
      </w:pPr>
      <w:r>
        <w:rPr/>
        <w:t>Aetna Migration, 2011 (</w:t>
      </w:r>
      <w:hyperlink r:id="rId43">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44">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45">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46">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47">
        <w:r>
          <w:rPr>
            <w:rStyle w:val="Hyperlink"/>
          </w:rPr>
          <w:t>https://broward.ghost.io/hack_the_planet</w:t>
        </w:r>
      </w:hyperlink>
      <w:r>
        <w:rPr/>
        <w:t>)</w:t>
      </w:r>
    </w:p>
    <w:p>
      <w:pPr>
        <w:pStyle w:val="Normal"/>
        <w:bidi w:val="0"/>
        <w:jc w:val="left"/>
        <w:rPr/>
      </w:pPr>
      <w:r>
        <w:rPr/>
      </w:r>
    </w:p>
    <w:sectPr>
      <w:headerReference w:type="default" r:id="rId48"/>
      <w:type w:val="nextPage"/>
      <w:pgSz w:w="12240" w:h="15840"/>
      <w:pgMar w:left="691" w:right="691" w:gutter="0" w:header="461" w:top="1023" w:footer="0" w:bottom="4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www.texasbulliondepository.gov/"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jpeg"/><Relationship Id="rId11" Type="http://schemas.openxmlformats.org/officeDocument/2006/relationships/hyperlink" Target="https://fredblog.stlouisfed.org/2018/03/the-cost-of-owing"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yperlink" Target="https://www.soundmoneydefense.org/"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hyperlink" Target="https://broward.ghost.io/golddigr/tactical/" TargetMode="External"/><Relationship Id="rId21" Type="http://schemas.openxmlformats.org/officeDocument/2006/relationships/hyperlink" Target="https://broward.ghost.io/ /aws_app_1" TargetMode="External"/><Relationship Id="rId22" Type="http://schemas.openxmlformats.org/officeDocument/2006/relationships/hyperlink" Target="https://broward.ghost.io/golddigr/legal/" TargetMode="External"/><Relationship Id="rId23" Type="http://schemas.openxmlformats.org/officeDocument/2006/relationships/image" Target="media/image10.jpeg"/><Relationship Id="rId24" Type="http://schemas.openxmlformats.org/officeDocument/2006/relationships/hyperlink" Target="https://broward.ghost.io/2014/05/19/early-mobile-system/" TargetMode="External"/><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github.com/broward/BRICS" TargetMode="External"/><Relationship Id="rId28" Type="http://schemas.openxmlformats.org/officeDocument/2006/relationships/hyperlink" Target="https://www.ugpti.org/research/details.php?id=93" TargetMode="External"/><Relationship Id="rId29" Type="http://schemas.openxmlformats.org/officeDocument/2006/relationships/hyperlink" Target="https://docs.silamoney.com/docs" TargetMode="External"/><Relationship Id="rId30" Type="http://schemas.openxmlformats.org/officeDocument/2006/relationships/hyperlink" Target="https://broward.ghost.io/texas_depo" TargetMode="External"/><Relationship Id="rId31" Type="http://schemas.openxmlformats.org/officeDocument/2006/relationships/hyperlink" Target="" TargetMode="External"/><Relationship Id="rId32" Type="http://schemas.openxmlformats.org/officeDocument/2006/relationships/hyperlink" Target="https://broward.ghost.io/BRICS" TargetMode="External"/><Relationship Id="rId33" Type="http://schemas.openxmlformats.org/officeDocument/2006/relationships/hyperlink" Target="https://broward.ghost.io/aws_app_1" TargetMode="External"/><Relationship Id="rId34" Type="http://schemas.openxmlformats.org/officeDocument/2006/relationships/hyperlink" Target="https://broward.ghost.io/stablecoin_hack" TargetMode="External"/><Relationship Id="rId35" Type="http://schemas.openxmlformats.org/officeDocument/2006/relationships/hyperlink" Target="https://broward.ghost.io/miner_bankruptcy" TargetMode="External"/><Relationship Id="rId36" Type="http://schemas.openxmlformats.org/officeDocument/2006/relationships/hyperlink" Target="https://broward.ghost.io/polymorphic_api/" TargetMode="External"/><Relationship Id="rId37" Type="http://schemas.openxmlformats.org/officeDocument/2006/relationships/hyperlink" Target="https://broward.ghost.io/crypto_platform" TargetMode="External"/><Relationship Id="rId38" Type="http://schemas.openxmlformats.org/officeDocument/2006/relationships/hyperlink" Target="https://broward.ghost.io/payment_system" TargetMode="External"/><Relationship Id="rId39" Type="http://schemas.openxmlformats.org/officeDocument/2006/relationships/hyperlink" Target="https://broward.ghost.io/bitcoin_scalability" TargetMode="External"/><Relationship Id="rId40" Type="http://schemas.openxmlformats.org/officeDocument/2006/relationships/hyperlink" Target="https://broward.ghost.io/digital_money_trust" TargetMode="External"/><Relationship Id="rId41" Type="http://schemas.openxmlformats.org/officeDocument/2006/relationships/hyperlink" Target="https://broward.ghost.io/digital_on_IoT" TargetMode="External"/><Relationship Id="rId42" Type="http://schemas.openxmlformats.org/officeDocument/2006/relationships/hyperlink" Target="" TargetMode="External"/><Relationship Id="rId43" Type="http://schemas.openxmlformats.org/officeDocument/2006/relationships/hyperlink" Target="https://broward.ghost.io/aetna" TargetMode="External"/><Relationship Id="rId44" Type="http://schemas.openxmlformats.org/officeDocument/2006/relationships/hyperlink" Target="https://broward.ghost.io/avnet" TargetMode="External"/><Relationship Id="rId45" Type="http://schemas.openxmlformats.org/officeDocument/2006/relationships/hyperlink" Target="https://broward.ghost.io/multi-tenant" TargetMode="External"/><Relationship Id="rId46" Type="http://schemas.openxmlformats.org/officeDocument/2006/relationships/hyperlink" Target="https://broward.ghost.io/FHWA/" TargetMode="External"/><Relationship Id="rId47" Type="http://schemas.openxmlformats.org/officeDocument/2006/relationships/hyperlink" Target="https://broward.ghost.io/hack_the_planet" TargetMode="External"/><Relationship Id="rId48" Type="http://schemas.openxmlformats.org/officeDocument/2006/relationships/header" Target="head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1097</TotalTime>
  <Application>LibreOffice/7.6.5.2$Linux_X86_64 LibreOffice_project/60$Build-2</Application>
  <AppVersion>15.0000</AppVersion>
  <Pages>12</Pages>
  <Words>1737</Words>
  <Characters>10501</Characters>
  <CharactersWithSpaces>12216</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2024-04-11T19:10:06Z</cp:lastPrinted>
  <dcterms:modified xsi:type="dcterms:W3CDTF">2024-04-11T19:22:20Z</dcterms:modified>
  <cp:revision>191</cp:revision>
  <dc:subject/>
  <dc:title/>
</cp:coreProperties>
</file>

<file path=docProps/custom.xml><?xml version="1.0" encoding="utf-8"?>
<Properties xmlns="http://schemas.openxmlformats.org/officeDocument/2006/custom-properties" xmlns:vt="http://schemas.openxmlformats.org/officeDocument/2006/docPropsVTypes"/>
</file>