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jpeg" ContentType="image/jpeg"/>
  <Override PartName="/word/media/image14.jpeg" ContentType="image/jpeg"/>
  <Override PartName="/word/media/image1.png" ContentType="image/png"/>
  <Override PartName="/word/media/image2.jpeg" ContentType="image/jpeg"/>
  <Override PartName="/word/media/image4.jpeg" ContentType="image/jpeg"/>
  <Override PartName="/word/media/image5.jpeg" ContentType="image/jpeg"/>
  <Override PartName="/word/media/image3.jpeg" ContentType="image/jpeg"/>
  <Override PartName="/word/media/image6.png" ContentType="image/png"/>
  <Override PartName="/word/media/image10.jpeg" ContentType="image/jpeg"/>
  <Override PartName="/word/media/image7.jpeg" ContentType="image/jpeg"/>
  <Override PartName="/word/media/image9.jpeg" ContentType="image/jpeg"/>
  <Override PartName="/word/media/image12.jpeg" ContentType="image/jpeg"/>
  <Override PartName="/word/media/image8.png" ContentType="image/png"/>
  <Override PartName="/word/media/image1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lineRule="auto" w:line="9" w:before="0" w:after="115"/>
        <w:jc w:val="left"/>
        <w:rPr/>
      </w:pPr>
      <w:r>
        <w:rPr>
          <w:rStyle w:val="Hyperlink"/>
          <w:b w:val="false"/>
          <w:bCs w:val="false"/>
          <w:color w:themeColor="hyperlink" w:val="000000"/>
          <w:sz w:val="24"/>
          <w:szCs w:val="24"/>
          <w:u w:val="none"/>
        </w:rPr>
        <w:t>CC:</w:t>
      </w:r>
    </w:p>
    <w:p>
      <w:pPr>
        <w:pStyle w:val="Heading3"/>
        <w:bidi w:val="0"/>
        <w:spacing w:lineRule="auto" w:line="9" w:before="0" w:after="115"/>
        <w:jc w:val="left"/>
        <w:rPr>
          <w:rStyle w:val="Hyperlink"/>
          <w:b w:val="false"/>
          <w:bCs w:val="false"/>
          <w:color w:themeColor="hyperlink" w:val="000000"/>
          <w:sz w:val="24"/>
          <w:szCs w:val="24"/>
          <w:u w:val="none"/>
        </w:rPr>
      </w:pPr>
      <w:r>
        <w:rPr>
          <w:b w:val="false"/>
          <w:bCs w:val="false"/>
          <w:color w:themeColor="hyperlink" w:val="000000"/>
          <w:sz w:val="24"/>
          <w:szCs w:val="24"/>
          <w:u w:val="none"/>
        </w:rPr>
      </w:r>
    </w:p>
    <w:p>
      <w:pPr>
        <w:pStyle w:val="Heading3"/>
        <w:bidi w:val="0"/>
        <w:spacing w:lineRule="auto" w:line="9" w:before="0" w:after="115"/>
        <w:jc w:val="left"/>
        <w:rPr>
          <w:rStyle w:val="Hyperlink"/>
          <w:b w:val="false"/>
          <w:bCs w:val="false"/>
          <w:color w:themeColor="hyperlink" w:val="000000"/>
          <w:sz w:val="24"/>
          <w:szCs w:val="24"/>
          <w:u w:val="none"/>
        </w:rPr>
      </w:pPr>
      <w:r>
        <w:rPr>
          <w:b w:val="false"/>
          <w:bCs w:val="false"/>
          <w:color w:themeColor="accent1" w:val="000000"/>
          <w:sz w:val="24"/>
          <w:szCs w:val="24"/>
          <w:u w:val="none"/>
        </w:rPr>
      </w:r>
    </w:p>
    <w:p>
      <w:pPr>
        <w:sectPr>
          <w:type w:val="nextPage"/>
          <w:pgSz w:w="12240" w:h="15840"/>
          <w:pgMar w:left="691" w:right="691" w:gutter="0" w:header="0" w:top="461" w:footer="0" w:bottom="461"/>
          <w:pgNumType w:fmt="decimal"/>
          <w:cols w:num="2" w:space="288" w:equalWidth="true" w:sep="false"/>
          <w:formProt w:val="false"/>
          <w:textDirection w:val="lrTb"/>
        </w:sectPr>
      </w:pPr>
    </w:p>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6</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similar to </w:t>
      </w:r>
      <w:hyperlink r:id="rId5">
        <w:r>
          <w:rPr>
            <w:rStyle w:val="Hyperlink"/>
            <w:sz w:val="20"/>
          </w:rPr>
          <w:t>Texas bills S.B. No. 2334 and H.B. No. 4903</w:t>
        </w:r>
      </w:hyperlink>
      <w:r>
        <w:rPr>
          <w:rStyle w:val="Hyperlink"/>
          <w:sz w:val="20"/>
        </w:rPr>
        <w:t xml:space="preserve">. </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task force </w:t>
        </w:r>
      </w:hyperlink>
      <w:r>
        <w:rPr/>
        <w:t>to develop a SDT framework for several States and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exchange system</w:t>
        </w:r>
      </w:hyperlink>
      <w:r>
        <w:rPr/>
        <w:t xml:space="preserve"> like the evolving BRICS currency proposal.</w:t>
      </w:r>
    </w:p>
    <w:p>
      <w:pPr>
        <w:pStyle w:val="Normal"/>
        <w:bidi w:val="0"/>
        <w:jc w:val="left"/>
        <w:rPr>
          <w:b/>
        </w:rPr>
      </w:pPr>
      <w:r>
        <w:rPr>
          <w:b/>
        </w:rPr>
      </w:r>
    </w:p>
    <w:p>
      <w:pPr>
        <w:pStyle w:val="Normal"/>
        <w:bidi w:val="0"/>
        <w:jc w:val="left"/>
        <w:rPr/>
      </w:pPr>
      <w:r>
        <w:rPr>
          <w:b w:val="false"/>
          <w:bCs w:val="false"/>
        </w:rPr>
        <w:t>My goal is to create a real system via State funding‚ grants‚ consulting, sponsorship. etc.  I have the skills to do it, m</w:t>
      </w:r>
      <w:hyperlink r:id="rId9">
        <w:r>
          <w:rPr>
            <w:rStyle w:val="Hyperlink"/>
            <w:b w:val="false"/>
            <w:bCs w:val="false"/>
          </w:rPr>
          <w:t xml:space="preserve">y background is </w:t>
        </w:r>
        <w:r>
          <w:rPr>
            <w:rStyle w:val="Hyperlink"/>
          </w:rPr>
          <w:t>eclectic</w:t>
        </w:r>
      </w:hyperlink>
      <w:r>
        <w:rPr>
          <w:b w:val="false"/>
          <w:bCs w:val="false"/>
        </w:rPr>
        <w:t xml:space="preserve"> and spans startups‚ corporations‚ State and Federal systems for 35 years.</w:t>
      </w:r>
    </w:p>
    <w:p>
      <w:pPr>
        <w:pStyle w:val="Heading3"/>
        <w:rPr/>
      </w:pPr>
      <w:r>
        <w:rPr/>
        <w:t>System Overview</w:t>
      </w:r>
    </w:p>
    <w:p>
      <w:pPr>
        <w:pStyle w:val="Normal"/>
        <w:bidi w:val="0"/>
        <w:jc w:val="left"/>
        <w:rPr>
          <w:b w:val="false"/>
          <w:bCs w:val="false"/>
        </w:rPr>
      </w:pPr>
      <w:r>
        <w:rPr>
          <w:b w:val="false"/>
          <w:bCs w:val="false"/>
        </w:rPr>
        <w:drawing>
          <wp:anchor behindDoc="0" distT="0" distB="0" distL="0" distR="0" simplePos="0" locked="0" layoutInCell="0" allowOverlap="1" relativeHeight="10">
            <wp:simplePos x="0" y="0"/>
            <wp:positionH relativeFrom="column">
              <wp:posOffset>504190</wp:posOffset>
            </wp:positionH>
            <wp:positionV relativeFrom="paragraph">
              <wp:posOffset>89535</wp:posOffset>
            </wp:positionV>
            <wp:extent cx="5886450" cy="197739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0"/>
                    <a:stretch>
                      <a:fillRect/>
                    </a:stretch>
                  </pic:blipFill>
                  <pic:spPr bwMode="auto">
                    <a:xfrm>
                      <a:off x="0" y="0"/>
                      <a:ext cx="5886450" cy="1977390"/>
                    </a:xfrm>
                    <a:prstGeom prst="rect">
                      <a:avLst/>
                    </a:prstGeom>
                  </pic:spPr>
                </pic:pic>
              </a:graphicData>
            </a:graphic>
          </wp:anchor>
        </w:drawing>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pPr>
      <w:r>
        <w:rPr/>
      </w:r>
    </w:p>
    <w:p>
      <w:pPr>
        <w:pStyle w:val="Heading4"/>
        <w:bidi w:val="0"/>
        <w:jc w:val="left"/>
        <w:rPr>
          <w:b/>
        </w:rPr>
      </w:pPr>
      <w:r>
        <w:rPr>
          <w:b/>
        </w:rPr>
      </w:r>
    </w:p>
    <w:p>
      <w:pPr>
        <w:pStyle w:val="Normal"/>
        <w:rPr/>
      </w:pPr>
      <w:r>
        <w:rPr/>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pPr>
      <w:r>
        <w:rPr/>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94830" cy="214566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11"/>
                    <a:stretch>
                      <a:fillRect/>
                    </a:stretch>
                  </pic:blipFill>
                  <pic:spPr bwMode="auto">
                    <a:xfrm>
                      <a:off x="0" y="0"/>
                      <a:ext cx="6894830" cy="2145665"/>
                    </a:xfrm>
                    <a:prstGeom prst="rect">
                      <a:avLst/>
                    </a:prstGeom>
                  </pic:spPr>
                </pic:pic>
              </a:graphicData>
            </a:graphic>
          </wp:anchor>
        </w:drawing>
      </w:r>
    </w:p>
    <w:p>
      <w:pPr>
        <w:pStyle w:val="Heading4"/>
        <w:bidi w:val="0"/>
        <w:jc w:val="left"/>
        <w:rPr/>
      </w:pPr>
      <w:r>
        <w:rPr>
          <w:b/>
        </w:rPr>
        <w:t>Parasocial Relationship</w:t>
      </w:r>
    </w:p>
    <w:p>
      <w:pPr>
        <w:pStyle w:val="Normal"/>
        <w:rPr/>
      </w:pPr>
      <w:r>
        <w:rPr/>
        <w:t xml:space="preserve">Parasocial relationships are one-sided, where one party extends energy and time with the other party unaware of the other’s existence.  </w:t>
      </w:r>
      <w:r>
        <w:rPr>
          <w:rFonts w:ascii="Times new roman" w:hAnsi="Times new roman"/>
          <w:b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 which is why tax money now flows to other countries and people with no direct benefit to taxpayers. </w:t>
      </w:r>
    </w:p>
    <w:p>
      <w:pPr>
        <w:pStyle w:val="Normal"/>
        <w:rPr/>
      </w:pPr>
      <w:r>
        <w:rPr/>
      </w:r>
    </w:p>
    <w:p>
      <w:pPr>
        <w:pStyle w:val="Normal"/>
        <w:rPr/>
      </w:pPr>
      <w:r>
        <w:rPr/>
        <w:t>An impedance-matched token would adapt to regional and local conditions and requirements.</w:t>
      </w:r>
    </w:p>
    <w:p>
      <w:pPr>
        <w:pStyle w:val="Normal"/>
        <w:rPr/>
      </w:pPr>
      <w:r>
        <w:rPr/>
        <w:drawing>
          <wp:anchor behindDoc="0" distT="0" distB="0" distL="0" distR="0" simplePos="0" locked="0" layoutInCell="0" allowOverlap="1" relativeHeight="13">
            <wp:simplePos x="0" y="0"/>
            <wp:positionH relativeFrom="column">
              <wp:posOffset>47625</wp:posOffset>
            </wp:positionH>
            <wp:positionV relativeFrom="paragraph">
              <wp:posOffset>104775</wp:posOffset>
            </wp:positionV>
            <wp:extent cx="6894830" cy="204787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12"/>
                    <a:stretch>
                      <a:fillRect/>
                    </a:stretch>
                  </pic:blipFill>
                  <pic:spPr bwMode="auto">
                    <a:xfrm>
                      <a:off x="0" y="0"/>
                      <a:ext cx="6894830" cy="2047875"/>
                    </a:xfrm>
                    <a:prstGeom prst="rect">
                      <a:avLst/>
                    </a:prstGeom>
                  </pic:spPr>
                </pic:pic>
              </a:graphicData>
            </a:graphic>
          </wp:anchor>
        </w:drawing>
      </w:r>
    </w:p>
    <w:p>
      <w:pPr>
        <w:pStyle w:val="Heading4"/>
        <w:bidi w:val="0"/>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regionally to meet regional conditions.</w:t>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283210</wp:posOffset>
            </wp:positionV>
            <wp:extent cx="6829425" cy="433705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3"/>
                    <a:stretch>
                      <a:fillRect/>
                    </a:stretch>
                  </pic:blipFill>
                  <pic:spPr bwMode="auto">
                    <a:xfrm>
                      <a:off x="0" y="0"/>
                      <a:ext cx="6829425" cy="4337050"/>
                    </a:xfrm>
                    <a:prstGeom prst="rect">
                      <a:avLst/>
                    </a:prstGeom>
                  </pic:spPr>
                </pic:pic>
              </a:graphicData>
            </a:graphic>
          </wp:anchor>
        </w:drawing>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15043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4"/>
                    <a:stretch>
                      <a:fillRect/>
                    </a:stretch>
                  </pic:blipFill>
                  <pic:spPr bwMode="auto">
                    <a:xfrm>
                      <a:off x="0" y="0"/>
                      <a:ext cx="6894830" cy="1504315"/>
                    </a:xfrm>
                    <a:prstGeom prst="rect">
                      <a:avLst/>
                    </a:prstGeom>
                  </pic:spPr>
                </pic:pic>
              </a:graphicData>
            </a:graphic>
          </wp:anchor>
        </w:drawing>
      </w:r>
      <w:r>
        <w:rPr>
          <w:b/>
        </w:rPr>
        <w:br/>
        <w:t>Interest Payments</w:t>
      </w:r>
    </w:p>
    <w:p>
      <w:pPr>
        <w:pStyle w:val="Normal"/>
        <w:bidi w:val="0"/>
        <w:jc w:val="left"/>
        <w:rPr/>
      </w:pPr>
      <w:r>
        <w:rPr/>
        <w:t xml:space="preserve">The current rate of increase in </w:t>
      </w:r>
      <w:hyperlink r:id="rId15">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31292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6"/>
                    <a:stretch>
                      <a:fillRect/>
                    </a:stretch>
                  </pic:blipFill>
                  <pic:spPr bwMode="auto">
                    <a:xfrm>
                      <a:off x="0" y="0"/>
                      <a:ext cx="6894830" cy="3129280"/>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375348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7"/>
                    <a:stretch>
                      <a:fillRect/>
                    </a:stretch>
                  </pic:blipFill>
                  <pic:spPr bwMode="auto">
                    <a:xfrm>
                      <a:off x="0" y="0"/>
                      <a:ext cx="6894830" cy="3753485"/>
                    </a:xfrm>
                    <a:prstGeom prst="rect">
                      <a:avLst/>
                    </a:prstGeom>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672580" cy="3571875"/>
            <wp:effectExtent l="0" t="0" r="0" b="0"/>
            <wp:wrapSquare wrapText="largest"/>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8"/>
                    <a:stretch>
                      <a:fillRect/>
                    </a:stretch>
                  </pic:blipFill>
                  <pic:spPr bwMode="auto">
                    <a:xfrm>
                      <a:off x="0" y="0"/>
                      <a:ext cx="6672580" cy="3571875"/>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9">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in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96050" cy="33724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0"/>
                    <a:stretch>
                      <a:fillRect/>
                    </a:stretch>
                  </pic:blipFill>
                  <pic:spPr bwMode="auto">
                    <a:xfrm>
                      <a:off x="0" y="0"/>
                      <a:ext cx="6496050" cy="3372485"/>
                    </a:xfrm>
                    <a:prstGeom prst="rect">
                      <a:avLst/>
                    </a:prstGeom>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Depository Legislation:</w:t>
      </w:r>
    </w:p>
    <w:p>
      <w:pPr>
        <w:pStyle w:val="Normal"/>
        <w:bidi w:val="0"/>
        <w:jc w:val="left"/>
        <w:rPr/>
      </w:pPr>
      <w:hyperlink r:id="rId21">
        <w:r>
          <w:rPr>
            <w:rStyle w:val="Hyperlink"/>
            <w:b/>
          </w:rPr>
          <w:t>Texas Bullion Depository Bill</w:t>
        </w:r>
      </w:hyperlink>
      <w:r>
        <w:rPr/>
        <w:t xml:space="preserve"> - Signed into law in 2015 to create a State bullion depository.</w:t>
      </w:r>
    </w:p>
    <w:p>
      <w:pPr>
        <w:pStyle w:val="Normal"/>
        <w:bidi w:val="0"/>
        <w:jc w:val="left"/>
        <w:rPr/>
      </w:pPr>
      <w:hyperlink r:id="rId22">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3">
        <w:r>
          <w:rPr>
            <w:rStyle w:val="Hyperlink"/>
            <w:b/>
          </w:rPr>
          <w:t>2023: Mississippi SB 2966</w:t>
        </w:r>
      </w:hyperlink>
      <w:r>
        <w:rPr/>
        <w:t xml:space="preserve"> - Establish the Mississippi bullion depository</w:t>
      </w:r>
    </w:p>
    <w:p>
      <w:pPr>
        <w:pStyle w:val="Normal"/>
        <w:bidi w:val="0"/>
        <w:jc w:val="left"/>
        <w:rPr/>
      </w:pPr>
      <w:hyperlink r:id="rId24">
        <w:r>
          <w:rPr>
            <w:rStyle w:val="Hyperlink"/>
            <w:b/>
          </w:rPr>
          <w:t>2023: Missouri HB 718</w:t>
        </w:r>
      </w:hyperlink>
      <w:r>
        <w:rPr/>
        <w:t xml:space="preserve"> - Create the “Missouri Bullion Depository.”</w:t>
      </w:r>
    </w:p>
    <w:p>
      <w:pPr>
        <w:pStyle w:val="Normal"/>
        <w:bidi w:val="0"/>
        <w:jc w:val="left"/>
        <w:rPr/>
      </w:pPr>
      <w:hyperlink r:id="rId25">
        <w:r>
          <w:rPr>
            <w:rStyle w:val="Hyperlink"/>
            <w:b/>
          </w:rPr>
          <w:t>2023: North Carolina H 721</w:t>
        </w:r>
      </w:hyperlink>
      <w:r>
        <w:rPr/>
        <w:t xml:space="preserve"> - State Precious Metals Depository Study</w:t>
      </w:r>
    </w:p>
    <w:p>
      <w:pPr>
        <w:pStyle w:val="Normal"/>
        <w:bidi w:val="0"/>
        <w:jc w:val="left"/>
        <w:rPr/>
      </w:pPr>
      <w:hyperlink r:id="rId26">
        <w:r>
          <w:rPr>
            <w:rStyle w:val="Hyperlink"/>
            <w:b/>
          </w:rPr>
          <w:t>2023: Idaho H 0180</w:t>
        </w:r>
      </w:hyperlink>
      <w:r>
        <w:rPr/>
        <w:t xml:space="preserve"> - Invest in precious metals held in a secure depository</w:t>
      </w:r>
    </w:p>
    <w:p>
      <w:pPr>
        <w:pStyle w:val="Normal"/>
        <w:bidi w:val="0"/>
        <w:jc w:val="left"/>
        <w:rPr/>
      </w:pPr>
      <w:hyperlink r:id="rId27">
        <w:r>
          <w:rPr>
            <w:rStyle w:val="Hyperlink"/>
            <w:b/>
          </w:rPr>
          <w:t>2023: Oklahoma SB 816</w:t>
        </w:r>
      </w:hyperlink>
      <w:r>
        <w:rPr/>
        <w:t xml:space="preserve"> - Establish a State Treasury Depository</w:t>
      </w:r>
    </w:p>
    <w:p>
      <w:pPr>
        <w:pStyle w:val="Normal"/>
        <w:bidi w:val="0"/>
        <w:jc w:val="left"/>
        <w:rPr/>
      </w:pPr>
      <w:hyperlink r:id="rId28">
        <w:r>
          <w:rPr>
            <w:rStyle w:val="Hyperlink"/>
            <w:b/>
          </w:rPr>
          <w:t>2023: Montana HB 0884</w:t>
        </w:r>
      </w:hyperlink>
      <w:r>
        <w:rPr/>
        <w:t xml:space="preserve"> - Department of Revenue authorizes a media of exchange using gold</w:t>
      </w:r>
    </w:p>
    <w:p>
      <w:pPr>
        <w:pStyle w:val="Normal"/>
        <w:bidi w:val="0"/>
        <w:jc w:val="left"/>
        <w:rPr/>
      </w:pPr>
      <w:hyperlink r:id="rId29">
        <w:r>
          <w:rPr>
            <w:rStyle w:val="Hyperlink"/>
            <w:b/>
            <w:bCs/>
          </w:rPr>
          <w:t xml:space="preserve">2024: Florida H 697 </w:t>
        </w:r>
      </w:hyperlink>
      <w:r>
        <w:rPr/>
        <w:t>- State Legal Tender and Bullion Depository</w:t>
      </w:r>
    </w:p>
    <w:p>
      <w:pPr>
        <w:pStyle w:val="Normal"/>
        <w:bidi w:val="0"/>
        <w:jc w:val="left"/>
        <w:rPr/>
      </w:pPr>
      <w:hyperlink r:id="rId30">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1">
        <w:r>
          <w:rPr>
            <w:rStyle w:val="Hyperlink"/>
            <w:b/>
            <w:bCs/>
          </w:rPr>
          <w:t>2024: West Virginia SB 749</w:t>
        </w:r>
      </w:hyperlink>
      <w:r>
        <w:rPr/>
        <w:t xml:space="preserve"> - Establish the West Virginia Bullion Depository</w:t>
      </w:r>
    </w:p>
    <w:p>
      <w:pPr>
        <w:pStyle w:val="Normal"/>
        <w:bidi w:val="0"/>
        <w:jc w:val="left"/>
        <w:rPr/>
      </w:pPr>
      <w:hyperlink r:id="rId32">
        <w:r>
          <w:rPr>
            <w:rStyle w:val="Hyperlink"/>
            <w:b/>
            <w:bCs/>
          </w:rPr>
          <w:t>2024: Arizona SB 1633</w:t>
        </w:r>
      </w:hyperlink>
      <w:r>
        <w:rPr/>
        <w:t xml:space="preserve"> - Establish Bullion Depository and Gold-Backed token</w:t>
      </w:r>
    </w:p>
    <w:p>
      <w:pPr>
        <w:pStyle w:val="Normal"/>
        <w:bidi w:val="0"/>
        <w:jc w:val="left"/>
        <w:rPr/>
      </w:pPr>
      <w:hyperlink r:id="rId33">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4">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5">
        <w:r>
          <w:rPr>
            <w:rStyle w:val="Hyperlink"/>
            <w:b/>
            <w:bCs/>
          </w:rPr>
          <w:t xml:space="preserve">2024: New Hampshire H 1674 </w:t>
        </w:r>
      </w:hyperlink>
      <w:r>
        <w:rPr>
          <w:b w:val="false"/>
          <w:bCs w:val="false"/>
        </w:rPr>
        <w:t>- Establishes a state depository</w:t>
      </w:r>
    </w:p>
    <w:p>
      <w:pPr>
        <w:pStyle w:val="Normal"/>
        <w:bidi w:val="0"/>
        <w:jc w:val="left"/>
        <w:rPr/>
      </w:pPr>
      <w:hyperlink r:id="rId36">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Heading3"/>
        <w:rPr/>
      </w:pPr>
      <w:r>
        <w:rPr/>
        <w:t>Digital Token Legislation:</w:t>
      </w:r>
    </w:p>
    <w:p>
      <w:pPr>
        <w:pStyle w:val="Normal"/>
        <w:bidi w:val="0"/>
        <w:jc w:val="left"/>
        <w:rPr/>
      </w:pPr>
      <w:hyperlink r:id="rId37">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38">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p>
    <w:p>
      <w:pPr>
        <w:pStyle w:val="Normal"/>
        <w:bidi w:val="0"/>
        <w:jc w:val="left"/>
        <w:rPr>
          <w:rFonts w:ascii="times new roman" w:hAnsi="times new roman"/>
          <w:b w:val="false"/>
          <w:bCs w:val="false"/>
          <w:i w:val="false"/>
          <w:i w:val="false"/>
          <w:caps w:val="false"/>
          <w:smallCaps w:val="false"/>
          <w:sz w:val="26"/>
        </w:rPr>
      </w:pPr>
      <w:hyperlink r:id="rId39">
        <w:r>
          <w:rPr>
            <w:rStyle w:val="Hyperlink"/>
            <w:rFonts w:ascii="times new roman" w:hAnsi="times new roman"/>
            <w:b/>
            <w:bCs/>
            <w:i w:val="false"/>
            <w:caps w:val="false"/>
            <w:smallCaps w:val="false"/>
            <w:sz w:val="26"/>
          </w:rPr>
          <w:t>2024: Rhode Island H7817</w:t>
        </w:r>
      </w:hyperlink>
      <w:r>
        <w:rPr>
          <w:rFonts w:ascii="times new roman" w:hAnsi="times new roman"/>
          <w:b w:val="false"/>
          <w:bCs w:val="false"/>
          <w:i w:val="false"/>
          <w:caps w:val="false"/>
          <w:smallCaps w:val="false"/>
          <w:sz w:val="26"/>
        </w:rPr>
        <w:t xml:space="preserve"> - </w:t>
      </w:r>
      <w:r>
        <w:rPr>
          <w:rFonts w:ascii="times new roman" w:hAnsi="times new roman"/>
          <w:b w:val="false"/>
          <w:bCs w:val="false"/>
          <w:i w:val="false"/>
          <w:caps w:val="false"/>
          <w:smallCaps w:val="false"/>
          <w:color w:val="000000"/>
          <w:spacing w:val="0"/>
          <w:sz w:val="26"/>
        </w:rPr>
        <w:t>Commission To Study Blockchain And Cryptocurrency</w:t>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an SDT would work. </w:t>
      </w:r>
    </w:p>
    <w:p>
      <w:pPr>
        <w:pStyle w:val="Normal"/>
        <w:bidi w:val="0"/>
        <w:jc w:val="left"/>
        <w:rPr/>
      </w:pPr>
      <w:r>
        <w:rPr/>
      </w:r>
    </w:p>
    <w:p>
      <w:pPr>
        <w:sectPr>
          <w:type w:val="nextPage"/>
          <w:pgSz w:w="12240" w:h="15840"/>
          <w:pgMar w:left="691" w:right="691" w:gutter="0" w:header="0" w:top="461" w:footer="0" w:bottom="461"/>
          <w:pgNumType w:fmt="decimal"/>
          <w:formProt w:val="false"/>
          <w:textDirection w:val="lrTb"/>
          <w:docGrid w:type="default" w:linePitch="600" w:charSpace="32768"/>
        </w:sectPr>
      </w:pPr>
    </w:p>
    <w:p>
      <w:pPr>
        <w:pStyle w:val="Normal"/>
        <w:bidi w:val="0"/>
        <w:jc w:val="left"/>
        <w:rPr/>
      </w:pPr>
      <w:r>
        <w:rPr>
          <w:b/>
        </w:rPr>
        <w:t>Depository</w:t>
      </w:r>
      <w:r>
        <w:rPr/>
        <w:t>: stores gold deposits/currency.</w:t>
        <w:br/>
      </w:r>
      <w:r>
        <w:rPr>
          <w:b/>
        </w:rPr>
        <w:t>Inventory System</w:t>
      </w:r>
      <w:r>
        <w:rPr/>
        <w:t>: manages deposits</w:t>
        <w:br/>
      </w:r>
      <w:r>
        <w:rPr>
          <w:b/>
        </w:rPr>
        <w:t>Token Manager</w:t>
      </w:r>
      <w:r>
        <w:rPr/>
        <w:t>: manages transactions</w:t>
        <w:br/>
      </w:r>
      <w:r>
        <w:rPr>
          <w:b/>
        </w:rPr>
        <w:t>Blockchain</w:t>
      </w:r>
      <w:r>
        <w:rPr/>
        <w:t>: equivalent to accounting ledger</w:t>
        <w:br/>
      </w:r>
      <w:r>
        <w:rPr>
          <w:b/>
        </w:rPr>
        <w:t>Key Manager</w:t>
      </w:r>
      <w:r>
        <w:rPr/>
        <w:t>: safety deposit box keys</w:t>
        <w:br/>
      </w:r>
      <w:r>
        <w:rPr>
          <w:b/>
        </w:rPr>
        <w:t>Client</w:t>
      </w:r>
      <w:r>
        <w:rPr/>
        <w:t>: Customer with assets in depository</w:t>
      </w:r>
    </w:p>
    <w:p>
      <w:pPr>
        <w:sectPr>
          <w:type w:val="continuous"/>
          <w:pgSz w:w="12240" w:h="15840"/>
          <w:pgMar w:left="691" w:right="691" w:gutter="0" w:header="0" w:top="461" w:footer="0" w:bottom="461"/>
          <w:cols w:num="2" w:space="0" w:equalWidth="true" w:sep="false"/>
          <w:formProt w:val="false"/>
          <w:textDirection w:val="lrTb"/>
          <w:docGrid w:type="default" w:linePitch="600" w:charSpace="32768"/>
        </w:sectPr>
      </w:pPr>
    </w:p>
    <w:p>
      <w:pPr>
        <w:pStyle w:val="Normal"/>
        <w:bidi w:val="0"/>
        <w:jc w:val="left"/>
        <w:rPr/>
      </w:pPr>
      <w:r>
        <w:rPr/>
      </w:r>
    </w:p>
    <w:p>
      <w:pPr>
        <w:pStyle w:val="Heading3"/>
        <w:spacing w:before="0" w:after="115"/>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94830" cy="364871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0"/>
                    <a:stretch>
                      <a:fillRect/>
                    </a:stretch>
                  </pic:blipFill>
                  <pic:spPr bwMode="auto">
                    <a:xfrm>
                      <a:off x="0" y="0"/>
                      <a:ext cx="6894830" cy="3648710"/>
                    </a:xfrm>
                    <a:prstGeom prst="rect">
                      <a:avLst/>
                    </a:prstGeom>
                  </pic:spPr>
                </pic:pic>
              </a:graphicData>
            </a:graphic>
          </wp:anchor>
        </w:drawing>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message to token API</w:t>
      </w:r>
    </w:p>
    <w:p>
      <w:pPr>
        <w:pStyle w:val="Normal"/>
        <w:bidi w:val="0"/>
        <w:jc w:val="left"/>
        <w:rPr/>
      </w:pPr>
      <w:r>
        <w:rPr/>
      </w:r>
    </w:p>
    <w:p>
      <w:pPr>
        <w:pStyle w:val="BodyText"/>
        <w:bidi w:val="0"/>
        <w:spacing w:lineRule="auto" w:line="14" w:before="0" w:after="140"/>
        <w:jc w:val="left"/>
        <w:rPr/>
      </w:pPr>
      <w:r>
        <w:rPr>
          <w:rStyle w:val="SourceText"/>
        </w:rPr>
        <w:t xml:space="preserve">{  </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14" w:before="0" w:after="140"/>
        <w:jc w:val="left"/>
        <w:rPr/>
      </w:pPr>
      <w:r>
        <w:rPr>
          <w:rStyle w:val="SourceText"/>
          <w:rFonts w:ascii="Monaco;monospace" w:hAnsi="Monaco;monospace"/>
          <w:b w:val="false"/>
          <w:i w:val="false"/>
          <w:caps w:val="false"/>
          <w:smallCaps w:val="false"/>
          <w:sz w:val="24"/>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1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14" w:before="0" w:after="140"/>
        <w:jc w:val="left"/>
        <w:rPr/>
      </w:pPr>
      <w:r>
        <w:rPr>
          <w:rStyle w:val="SourceText"/>
        </w:rPr>
        <w:t xml:space="preserve">}  </w:t>
      </w:r>
    </w:p>
    <w:p>
      <w:pPr>
        <w:pStyle w:val="Normal"/>
        <w:bidi w:val="0"/>
        <w:spacing w:lineRule="atLeast" w:line="0"/>
        <w:jc w:val="left"/>
        <w:rPr/>
      </w:pPr>
      <w:r>
        <w:rPr/>
      </w:r>
    </w:p>
    <w:p>
      <w:pPr>
        <w:pStyle w:val="ListParagraph"/>
        <w:numPr>
          <w:ilvl w:val="0"/>
          <w:numId w:val="0"/>
        </w:numPr>
        <w:bidi w:val="0"/>
        <w:spacing w:lineRule="auto" w:line="14"/>
        <w:ind w:hanging="0" w:left="0"/>
        <w:jc w:val="left"/>
        <w:rPr/>
      </w:pPr>
      <w:r>
        <w:rPr/>
        <w:t>2. Token Manaager forwards message to Key Manager.</w:t>
      </w:r>
    </w:p>
    <w:p>
      <w:pPr>
        <w:pStyle w:val="ListParagraph"/>
        <w:numPr>
          <w:ilvl w:val="0"/>
          <w:numId w:val="0"/>
        </w:numPr>
        <w:bidi w:val="0"/>
        <w:spacing w:lineRule="auto" w:line="14"/>
        <w:ind w:hanging="0" w:left="0"/>
        <w:jc w:val="left"/>
        <w:rPr/>
      </w:pPr>
      <w:r>
        <w:rPr/>
      </w:r>
    </w:p>
    <w:p>
      <w:pPr>
        <w:pStyle w:val="ListParagraph"/>
        <w:numPr>
          <w:ilvl w:val="0"/>
          <w:numId w:val="0"/>
        </w:numPr>
        <w:bidi w:val="0"/>
        <w:spacing w:lineRule="auto" w:line="14"/>
        <w:ind w:hanging="0" w:left="0"/>
        <w:jc w:val="left"/>
        <w:rPr/>
      </w:pPr>
      <w:r>
        <w:rPr/>
        <w:t>3. Key Manager verifies the payer, payee and payer’s balance.</w:t>
      </w:r>
    </w:p>
    <w:p>
      <w:pPr>
        <w:pStyle w:val="ListParagraph"/>
        <w:numPr>
          <w:ilvl w:val="0"/>
          <w:numId w:val="0"/>
        </w:numPr>
        <w:bidi w:val="0"/>
        <w:spacing w:lineRule="auto" w:line="14"/>
        <w:ind w:hanging="0" w:left="0"/>
        <w:jc w:val="left"/>
        <w:rPr/>
      </w:pPr>
      <w:r>
        <w:rPr/>
      </w:r>
    </w:p>
    <w:p>
      <w:pPr>
        <w:pStyle w:val="ListParagraph"/>
        <w:numPr>
          <w:ilvl w:val="0"/>
          <w:numId w:val="0"/>
        </w:numPr>
        <w:bidi w:val="0"/>
        <w:spacing w:lineRule="auto" w:line="14"/>
        <w:ind w:hanging="0" w:left="0"/>
        <w:jc w:val="left"/>
        <w:rPr/>
      </w:pPr>
      <w:r>
        <w:rPr/>
        <w:t>4. Key Manager creates blockchain entry and sends result to token.</w:t>
      </w:r>
    </w:p>
    <w:p>
      <w:pPr>
        <w:pStyle w:val="ListParagraph"/>
        <w:numPr>
          <w:ilvl w:val="0"/>
          <w:numId w:val="0"/>
        </w:numPr>
        <w:bidi w:val="0"/>
        <w:spacing w:lineRule="auto" w:line="14"/>
        <w:ind w:hanging="0" w:left="0"/>
        <w:jc w:val="left"/>
        <w:rPr/>
      </w:pPr>
      <w:r>
        <w:rPr/>
      </w:r>
    </w:p>
    <w:p>
      <w:pPr>
        <w:pStyle w:val="ListParagraph"/>
        <w:numPr>
          <w:ilvl w:val="0"/>
          <w:numId w:val="0"/>
        </w:numPr>
        <w:bidi w:val="0"/>
        <w:spacing w:lineRule="auto" w:line="14"/>
        <w:ind w:hanging="0" w:left="0"/>
        <w:jc w:val="left"/>
        <w:rPr/>
      </w:pPr>
      <w:r>
        <w:rPr/>
        <w:t>5. Token Manager sends result to client.</w:t>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41">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  </w:t>
      </w:r>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posOffset>218440</wp:posOffset>
            </wp:positionH>
            <wp:positionV relativeFrom="paragraph">
              <wp:posOffset>62865</wp:posOffset>
            </wp:positionV>
            <wp:extent cx="6457950" cy="38290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2"/>
                    <a:stretch>
                      <a:fillRect/>
                    </a:stretch>
                  </pic:blipFill>
                  <pic:spPr bwMode="auto">
                    <a:xfrm>
                      <a:off x="0" y="0"/>
                      <a:ext cx="6457950" cy="38290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w:t>
      </w:r>
      <w:r>
        <w:rPr/>
        <w:t xml:space="preserve">used this model at Federal Highway from 1994 to 1996 to develop </w:t>
      </w:r>
      <w:hyperlink r:id="rId43">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STDs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36410" cy="21463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44"/>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5"/>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6">
        <w:r>
          <w:rPr>
            <w:rStyle w:val="Hyperlink"/>
          </w:rPr>
          <w:t xml:space="preserve">small working software model of SXS </w:t>
        </w:r>
      </w:hyperlink>
      <w:r>
        <w:rPr/>
        <w:t>(</w:t>
      </w:r>
      <w:hyperlink r:id="rId47">
        <w:r>
          <w:rPr>
            <w:rStyle w:val="Hyperlink"/>
          </w:rPr>
          <w:t>https://github.com/broward/BRICS</w:t>
        </w:r>
      </w:hyperlink>
      <w:r>
        <w:rPr/>
        <w:t>)</w:t>
      </w:r>
    </w:p>
    <w:p>
      <w:pPr>
        <w:pStyle w:val="Normal"/>
        <w:bidi w:val="0"/>
        <w:jc w:val="left"/>
        <w:rPr/>
      </w:pPr>
      <w:hyperlink r:id="rId48">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49">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50">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51">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2">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3">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4">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5">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6">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7">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8">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59">
        <w:r>
          <w:rPr>
            <w:rStyle w:val="Hyperlink"/>
          </w:rPr>
          <w:t>Digital Money Trust in 1994</w:t>
        </w:r>
      </w:hyperlink>
      <w:r>
        <w:rPr/>
        <w:t xml:space="preserve"> (a precursor to Bitcoin), an </w:t>
      </w:r>
      <w:hyperlink r:id="rId60">
        <w:r>
          <w:rPr>
            <w:rStyle w:val="Hyperlink"/>
          </w:rPr>
          <w:t>IoT token prototype in 2014</w:t>
        </w:r>
      </w:hyperlink>
      <w:r>
        <w:rPr/>
        <w:t xml:space="preserve"> and </w:t>
      </w:r>
      <w:hyperlink r:id="rId61">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2">
        <w:r>
          <w:rPr>
            <w:rStyle w:val="Hyperlink"/>
          </w:rPr>
          <w:t>Boeing</w:t>
        </w:r>
      </w:hyperlink>
      <w:r>
        <w:rPr/>
        <w:t xml:space="preserve"> (call center), </w:t>
      </w:r>
      <w:hyperlink r:id="rId63">
        <w:r>
          <w:rPr>
            <w:rStyle w:val="Hyperlink"/>
          </w:rPr>
          <w:t>Avnet</w:t>
        </w:r>
      </w:hyperlink>
      <w:r>
        <w:rPr/>
        <w:t xml:space="preserve"> (e-commerce), </w:t>
      </w:r>
      <w:hyperlink r:id="rId64">
        <w:r>
          <w:rPr>
            <w:rStyle w:val="Hyperlink"/>
          </w:rPr>
          <w:t>Aetna</w:t>
        </w:r>
      </w:hyperlink>
      <w:r>
        <w:rPr/>
        <w:t xml:space="preserve"> (case management), </w:t>
      </w:r>
      <w:hyperlink r:id="rId65">
        <w:r>
          <w:rPr>
            <w:rStyle w:val="Hyperlink"/>
          </w:rPr>
          <w:t>Amdocs</w:t>
        </w:r>
      </w:hyperlink>
      <w:r>
        <w:rPr/>
        <w:t xml:space="preserve"> (payment system), </w:t>
      </w:r>
      <w:hyperlink r:id="rId66">
        <w:r>
          <w:rPr>
            <w:rStyle w:val="Hyperlink"/>
          </w:rPr>
          <w:t>DLVR.com</w:t>
        </w:r>
      </w:hyperlink>
      <w:r>
        <w:rPr/>
        <w:t xml:space="preserve"> (video analytics), Verizon (ring tone sales), </w:t>
      </w:r>
      <w:hyperlink r:id="rId67">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8">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69">
        <w:r>
          <w:rPr>
            <w:rStyle w:val="Hyperlink"/>
          </w:rPr>
          <w:t>Texas Depository, 2023</w:t>
        </w:r>
      </w:hyperlink>
      <w:r>
        <w:rPr/>
        <w:t xml:space="preserve"> </w:t>
      </w:r>
    </w:p>
    <w:p>
      <w:pPr>
        <w:pStyle w:val="ListParagraph"/>
        <w:numPr>
          <w:ilvl w:val="0"/>
          <w:numId w:val="0"/>
        </w:numPr>
        <w:ind w:hanging="0" w:left="420"/>
        <w:jc w:val="left"/>
        <w:rPr/>
      </w:pPr>
      <w:hyperlink r:id="rId70">
        <w:r>
          <w:rPr>
            <w:rStyle w:val="Hyperlink"/>
          </w:rPr>
          <w:t>BRICS Currency System 2023</w:t>
        </w:r>
      </w:hyperlink>
      <w:r>
        <w:rPr/>
        <w:t xml:space="preserve"> </w:t>
      </w:r>
    </w:p>
    <w:p>
      <w:pPr>
        <w:pStyle w:val="ListParagraph"/>
        <w:numPr>
          <w:ilvl w:val="0"/>
          <w:numId w:val="0"/>
        </w:numPr>
        <w:ind w:hanging="0" w:left="420"/>
        <w:jc w:val="left"/>
        <w:rPr/>
      </w:pPr>
      <w:hyperlink r:id="rId71">
        <w:r>
          <w:rPr>
            <w:rStyle w:val="Hyperlink"/>
          </w:rPr>
          <w:t>AWS App Design, 2023</w:t>
        </w:r>
      </w:hyperlink>
      <w:r>
        <w:rPr/>
        <w:t xml:space="preserve"> </w:t>
      </w:r>
    </w:p>
    <w:p>
      <w:pPr>
        <w:pStyle w:val="ListParagraph"/>
        <w:numPr>
          <w:ilvl w:val="0"/>
          <w:numId w:val="0"/>
        </w:numPr>
        <w:ind w:hanging="0" w:left="420"/>
        <w:jc w:val="left"/>
        <w:rPr/>
      </w:pPr>
      <w:hyperlink r:id="rId72">
        <w:r>
          <w:rPr>
            <w:rStyle w:val="Hyperlink"/>
          </w:rPr>
          <w:t>Stablecoin Hack, 2022</w:t>
        </w:r>
      </w:hyperlink>
      <w:r>
        <w:rPr/>
        <w:t xml:space="preserve"> </w:t>
      </w:r>
    </w:p>
    <w:p>
      <w:pPr>
        <w:pStyle w:val="ListParagraph"/>
        <w:numPr>
          <w:ilvl w:val="0"/>
          <w:numId w:val="0"/>
        </w:numPr>
        <w:ind w:hanging="0" w:left="420"/>
        <w:jc w:val="left"/>
        <w:rPr/>
      </w:pPr>
      <w:hyperlink r:id="rId73">
        <w:r>
          <w:rPr>
            <w:rStyle w:val="Hyperlink"/>
          </w:rPr>
          <w:t>Miner Bankruptcy, 2022</w:t>
        </w:r>
      </w:hyperlink>
      <w:r>
        <w:rPr/>
        <w:t xml:space="preserve"> </w:t>
      </w:r>
    </w:p>
    <w:p>
      <w:pPr>
        <w:pStyle w:val="ListParagraph"/>
        <w:numPr>
          <w:ilvl w:val="0"/>
          <w:numId w:val="0"/>
        </w:numPr>
        <w:ind w:hanging="0" w:left="420"/>
        <w:jc w:val="left"/>
        <w:rPr/>
      </w:pPr>
      <w:hyperlink r:id="rId74">
        <w:r>
          <w:rPr>
            <w:rStyle w:val="Hyperlink"/>
          </w:rPr>
          <w:t>Polymorphic API, 2022</w:t>
        </w:r>
      </w:hyperlink>
      <w:r>
        <w:rPr/>
        <w:t xml:space="preserve"> </w:t>
      </w:r>
    </w:p>
    <w:p>
      <w:pPr>
        <w:pStyle w:val="ListParagraph"/>
        <w:numPr>
          <w:ilvl w:val="0"/>
          <w:numId w:val="0"/>
        </w:numPr>
        <w:ind w:hanging="0" w:left="420"/>
        <w:jc w:val="left"/>
        <w:rPr/>
      </w:pPr>
      <w:hyperlink r:id="rId75">
        <w:r>
          <w:rPr>
            <w:rStyle w:val="Hyperlink"/>
          </w:rPr>
          <w:t>Crypto Platform, 2020</w:t>
        </w:r>
      </w:hyperlink>
      <w:r>
        <w:rPr/>
        <w:t xml:space="preserve"> </w:t>
      </w:r>
    </w:p>
    <w:p>
      <w:pPr>
        <w:pStyle w:val="ListParagraph"/>
        <w:numPr>
          <w:ilvl w:val="0"/>
          <w:numId w:val="0"/>
        </w:numPr>
        <w:ind w:hanging="0" w:left="420"/>
        <w:jc w:val="left"/>
        <w:rPr/>
      </w:pPr>
      <w:hyperlink r:id="rId76">
        <w:r>
          <w:rPr>
            <w:rStyle w:val="Hyperlink"/>
          </w:rPr>
          <w:t>Payment System, 2015</w:t>
        </w:r>
      </w:hyperlink>
      <w:r>
        <w:rPr/>
        <w:t xml:space="preserve"> </w:t>
      </w:r>
    </w:p>
    <w:p>
      <w:pPr>
        <w:pStyle w:val="ListParagraph"/>
        <w:numPr>
          <w:ilvl w:val="0"/>
          <w:numId w:val="0"/>
        </w:numPr>
        <w:ind w:hanging="0" w:left="420"/>
        <w:jc w:val="left"/>
        <w:rPr/>
      </w:pPr>
      <w:hyperlink r:id="rId77">
        <w:r>
          <w:rPr>
            <w:rStyle w:val="Hyperlink"/>
          </w:rPr>
          <w:t>Bitcoin Scalability, 2015</w:t>
        </w:r>
      </w:hyperlink>
      <w:r>
        <w:rPr/>
        <w:t xml:space="preserve"> </w:t>
      </w:r>
    </w:p>
    <w:p>
      <w:pPr>
        <w:pStyle w:val="ListParagraph"/>
        <w:numPr>
          <w:ilvl w:val="0"/>
          <w:numId w:val="0"/>
        </w:numPr>
        <w:ind w:hanging="0" w:left="420"/>
        <w:jc w:val="left"/>
        <w:rPr/>
      </w:pPr>
      <w:hyperlink r:id="rId78">
        <w:r>
          <w:rPr>
            <w:rStyle w:val="Hyperlink"/>
          </w:rPr>
          <w:t xml:space="preserve">Digital Money Trust, 2015 </w:t>
        </w:r>
      </w:hyperlink>
    </w:p>
    <w:p>
      <w:pPr>
        <w:pStyle w:val="ListParagraph"/>
        <w:numPr>
          <w:ilvl w:val="0"/>
          <w:numId w:val="0"/>
        </w:numPr>
        <w:ind w:hanging="0" w:left="420"/>
        <w:jc w:val="left"/>
        <w:rPr/>
      </w:pPr>
      <w:hyperlink r:id="rId79">
        <w:r>
          <w:rPr>
            <w:rStyle w:val="Hyperlink"/>
          </w:rPr>
          <w:t>Jing Currency on IoT, 2014</w:t>
        </w:r>
      </w:hyperlink>
      <w:r>
        <w:rPr/>
        <w:t xml:space="preserve"> </w:t>
      </w:r>
    </w:p>
    <w:p>
      <w:pPr>
        <w:pStyle w:val="ListParagraph"/>
        <w:numPr>
          <w:ilvl w:val="0"/>
          <w:numId w:val="0"/>
        </w:numPr>
        <w:ind w:hanging="0" w:left="420"/>
        <w:jc w:val="left"/>
        <w:rPr/>
      </w:pPr>
      <w:hyperlink r:id="rId80">
        <w:r>
          <w:rPr>
            <w:rStyle w:val="Hyperlink"/>
          </w:rPr>
          <w:t>Aetna Migration, 2011</w:t>
        </w:r>
      </w:hyperlink>
      <w:r>
        <w:rPr/>
        <w:t xml:space="preserve"> </w:t>
      </w:r>
    </w:p>
    <w:p>
      <w:pPr>
        <w:pStyle w:val="ListParagraph"/>
        <w:numPr>
          <w:ilvl w:val="0"/>
          <w:numId w:val="0"/>
        </w:numPr>
        <w:ind w:hanging="0" w:left="420"/>
        <w:jc w:val="left"/>
        <w:rPr/>
      </w:pPr>
      <w:hyperlink r:id="rId81">
        <w:r>
          <w:rPr>
            <w:rStyle w:val="Hyperlink"/>
          </w:rPr>
          <w:t>Avnet E-commerce, 2000</w:t>
        </w:r>
      </w:hyperlink>
      <w:r>
        <w:rPr/>
        <w:t xml:space="preserve"> </w:t>
      </w:r>
    </w:p>
    <w:p>
      <w:pPr>
        <w:pStyle w:val="ListParagraph"/>
        <w:numPr>
          <w:ilvl w:val="0"/>
          <w:numId w:val="0"/>
        </w:numPr>
        <w:ind w:hanging="0" w:left="420"/>
        <w:jc w:val="left"/>
        <w:rPr/>
      </w:pPr>
      <w:hyperlink r:id="rId82">
        <w:r>
          <w:rPr>
            <w:rStyle w:val="Hyperlink"/>
          </w:rPr>
          <w:t>Multi-Tenant Systems, 1996-2018</w:t>
        </w:r>
      </w:hyperlink>
      <w:r>
        <w:rPr/>
        <w:t xml:space="preserve"> </w:t>
      </w:r>
    </w:p>
    <w:p>
      <w:pPr>
        <w:pStyle w:val="ListParagraph"/>
        <w:numPr>
          <w:ilvl w:val="0"/>
          <w:numId w:val="0"/>
        </w:numPr>
        <w:ind w:hanging="0" w:left="420"/>
        <w:jc w:val="left"/>
        <w:rPr/>
      </w:pPr>
      <w:hyperlink r:id="rId83">
        <w:r>
          <w:rPr>
            <w:rStyle w:val="Hyperlink"/>
          </w:rPr>
          <w:t>Federal Highway System, 1992-1996</w:t>
        </w:r>
      </w:hyperlink>
      <w:r>
        <w:rPr/>
        <w:t xml:space="preserve"> </w:t>
      </w:r>
    </w:p>
    <w:p>
      <w:pPr>
        <w:pStyle w:val="ListParagraph"/>
        <w:numPr>
          <w:ilvl w:val="0"/>
          <w:numId w:val="0"/>
        </w:numPr>
        <w:ind w:hanging="0" w:left="420"/>
        <w:jc w:val="left"/>
        <w:rPr/>
      </w:pPr>
      <w:hyperlink r:id="rId84">
        <w:r>
          <w:rPr>
            <w:rStyle w:val="Hyperlink"/>
          </w:rPr>
          <w:t>Hacking the Planet, 1988</w:t>
        </w:r>
      </w:hyperlink>
      <w:r>
        <w:rPr/>
        <w:t xml:space="preserve"> </w:t>
      </w:r>
    </w:p>
    <w:sectPr>
      <w:type w:val="continuous"/>
      <w:pgSz w:w="12240" w:h="15840"/>
      <w:pgMar w:left="691" w:right="691" w:gutter="0" w:header="0" w:top="461"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times new roman">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2023/09/01/brics-currency-platform/" TargetMode="External"/><Relationship Id="rId9" Type="http://schemas.openxmlformats.org/officeDocument/2006/relationships/hyperlink" Target="https://broward.ghost.io/2014/03/09/about/"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s://fred.stlouisfed.org/series/A091RC1Q027SBEA" TargetMode="External"/><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hyperlink" Target="https://www.soundmoneydefense.org/" TargetMode="External"/><Relationship Id="rId20" Type="http://schemas.openxmlformats.org/officeDocument/2006/relationships/image" Target="media/image10.jpeg"/><Relationship Id="rId21" Type="http://schemas.openxmlformats.org/officeDocument/2006/relationships/hyperlink" Target="https://comptroller.texas.gov/economy/fiscal-notes/2017/september/bullion-depository.php" TargetMode="External"/><Relationship Id="rId22" Type="http://schemas.openxmlformats.org/officeDocument/2006/relationships/hyperlink" Target="https://wapp.capitol.tn.gov/apps/BillInfo/default.aspx?BillNumber=SB0150&amp;amp;GA=113" TargetMode="External"/><Relationship Id="rId23" Type="http://schemas.openxmlformats.org/officeDocument/2006/relationships/hyperlink" Target="https://www.billtrack50.com/billdetail/1569891" TargetMode="External"/><Relationship Id="rId24" Type="http://schemas.openxmlformats.org/officeDocument/2006/relationships/hyperlink" Target="https://legiscan.com/MO/bill/HB718/2023" TargetMode="External"/><Relationship Id="rId25" Type="http://schemas.openxmlformats.org/officeDocument/2006/relationships/hyperlink" Target="https://www.ncleg.gov/BillLookUp/2023/H721" TargetMode="External"/><Relationship Id="rId26" Type="http://schemas.openxmlformats.org/officeDocument/2006/relationships/hyperlink" Target="https://legiscan.com/ID/rollcall/H0180/id/1267687" TargetMode="External"/><Relationship Id="rId27" Type="http://schemas.openxmlformats.org/officeDocument/2006/relationships/hyperlink" Target="https://legiscan.com/OK/bill/SB816/2023" TargetMode="External"/><Relationship Id="rId28" Type="http://schemas.openxmlformats.org/officeDocument/2006/relationships/hyperlink" Target="https://leg.mt.gov/bills/2023/billhtml/HB0884.htm" TargetMode="External"/><Relationship Id="rId29" Type="http://schemas.openxmlformats.org/officeDocument/2006/relationships/hyperlink" Target="https://www.flsenate.gov/Session/Bill/2024/697" TargetMode="External"/><Relationship Id="rId30" Type="http://schemas.openxmlformats.org/officeDocument/2006/relationships/hyperlink" Target="https://www.billtrack50.com/billdetail/1728658" TargetMode="External"/><Relationship Id="rId31" Type="http://schemas.openxmlformats.org/officeDocument/2006/relationships/hyperlink" Target="https://www.wvlegislature.gov/Bill_Status/bills_text.cfm?billdoc=sb749%20intr.htm&amp;yr=2024&amp;sesstype=RS&amp;i=749" TargetMode="External"/><Relationship Id="rId32" Type="http://schemas.openxmlformats.org/officeDocument/2006/relationships/hyperlink" Target="https://blog.tenthamendmentcenter.com/2024/02/arizona-senate-committee-passes-bill-to-establish-bullion-depository-and-transactional-gold-backed-currency/?ref=broward.ghost.io" TargetMode="External"/><Relationship Id="rId33" Type="http://schemas.openxmlformats.org/officeDocument/2006/relationships/hyperlink" Target="https://kslegislature.org/li/b2023_24/measures/documents/hb2729_00_0000.pdf" TargetMode="External"/><Relationship Id="rId34" Type="http://schemas.openxmlformats.org/officeDocument/2006/relationships/hyperlink" Target="https://www.legis.iowa.gov/docs/publications/LGI/90/HF2228.pdf" TargetMode="External"/><Relationship Id="rId35" Type="http://schemas.openxmlformats.org/officeDocument/2006/relationships/hyperlink" Target="https://fastdemocracy.com/bill-search/nh/2024/bills/NHB00011738/" TargetMode="External"/><Relationship Id="rId36" Type="http://schemas.openxmlformats.org/officeDocument/2006/relationships/hyperlink" Target="https://mises.org/power-market/utah-formally-empowers-state-treasurer-protect-state-funds-gold-and-silver" TargetMode="External"/><Relationship Id="rId37" Type="http://schemas.openxmlformats.org/officeDocument/2006/relationships/hyperlink" Target="https://wyoleg.gov/Legislation/2023/SF0127" TargetMode="External"/><Relationship Id="rId38" Type="http://schemas.openxmlformats.org/officeDocument/2006/relationships/hyperlink" Target="https://pub.njleg.gov/bills/2022/A0500/385_I1.HTM" TargetMode="External"/><Relationship Id="rId39" Type="http://schemas.openxmlformats.org/officeDocument/2006/relationships/hyperlink" Target="https://legiscan.com/RI/bill/H7817/2024" TargetMode="External"/><Relationship Id="rId40" Type="http://schemas.openxmlformats.org/officeDocument/2006/relationships/image" Target="media/image11.jpeg"/><Relationship Id="rId41" Type="http://schemas.openxmlformats.org/officeDocument/2006/relationships/hyperlink" Target="https://broward.ghost.io/golddigr/legal/" TargetMode="External"/><Relationship Id="rId42" Type="http://schemas.openxmlformats.org/officeDocument/2006/relationships/image" Target="media/image12.jpeg"/><Relationship Id="rId43" Type="http://schemas.openxmlformats.org/officeDocument/2006/relationships/hyperlink" Target="https://broward.ghost.io/2014/05/19/early-mobile-system/" TargetMode="External"/><Relationship Id="rId44" Type="http://schemas.openxmlformats.org/officeDocument/2006/relationships/image" Target="media/image13.jpeg"/><Relationship Id="rId45" Type="http://schemas.openxmlformats.org/officeDocument/2006/relationships/image" Target="media/image14.jpeg"/><Relationship Id="rId46" Type="http://schemas.openxmlformats.org/officeDocument/2006/relationships/hyperlink" Target="https://github.com/broward/BRICS" TargetMode="External"/><Relationship Id="rId47" Type="http://schemas.openxmlformats.org/officeDocument/2006/relationships/hyperlink" Target="https://github.com/broward/BRICS" TargetMode="External"/><Relationship Id="rId48" Type="http://schemas.openxmlformats.org/officeDocument/2006/relationships/hyperlink" Target="https://broward.ghost.io/2023/09/01/brics-currency-platform/" TargetMode="External"/><Relationship Id="rId49" Type="http://schemas.openxmlformats.org/officeDocument/2006/relationships/hyperlink" Target="https://broward.ghost.io/2014/01/09/defcon/" TargetMode="External"/><Relationship Id="rId50" Type="http://schemas.openxmlformats.org/officeDocument/2006/relationships/hyperlink" Target="https://www.ugpti.org/research/details.php?id=93&amp;ref=broward.ghost.io" TargetMode="External"/><Relationship Id="rId51" Type="http://schemas.openxmlformats.org/officeDocument/2006/relationships/hyperlink" Target="https://broward.ghost.io/content/images/2022/01/nampa_article-1.jpg" TargetMode="External"/><Relationship Id="rId52" Type="http://schemas.openxmlformats.org/officeDocument/2006/relationships/hyperlink" Target="https://broward.ghost.io/2014/05/19/early-mobile-system/" TargetMode="External"/><Relationship Id="rId53" Type="http://schemas.openxmlformats.org/officeDocument/2006/relationships/hyperlink" Target="https://broward.ghost.io/2021/03/01/saleslogix/" TargetMode="External"/><Relationship Id="rId54" Type="http://schemas.openxmlformats.org/officeDocument/2006/relationships/hyperlink" Target="https://broward.ghost.io/2023/11/14/sunhill-software/" TargetMode="External"/><Relationship Id="rId55" Type="http://schemas.openxmlformats.org/officeDocument/2006/relationships/hyperlink" Target="https://broward.ghost.io/2014/05/20/node-postgres-and-highcharts-app/" TargetMode="External"/><Relationship Id="rId56" Type="http://schemas.openxmlformats.org/officeDocument/2006/relationships/hyperlink" Target="https://dlvr.com/how-it-works/video-multi-cdn-optimization/?ref=broward.ghost.io" TargetMode="External"/><Relationship Id="rId57" Type="http://schemas.openxmlformats.org/officeDocument/2006/relationships/hyperlink" Target="https://broward.ghost.io/2020/08/14/revision-2/" TargetMode="External"/><Relationship Id="rId58" Type="http://schemas.openxmlformats.org/officeDocument/2006/relationships/hyperlink" Target="https://broward.ghost.io/2023/04/02/sonoma/" TargetMode="External"/><Relationship Id="rId59" Type="http://schemas.openxmlformats.org/officeDocument/2006/relationships/hyperlink" Target="https://broward.ghost.io/2015/09/26/bitcoin-blockchains-and-banking-busts/" TargetMode="External"/><Relationship Id="rId60" Type="http://schemas.openxmlformats.org/officeDocument/2006/relationships/hyperlink" Target="https://broward.ghost.io/2021/03/01/digital-currency-on-iot/" TargetMode="External"/><Relationship Id="rId61" Type="http://schemas.openxmlformats.org/officeDocument/2006/relationships/hyperlink" Target="https://docs.silamoney.com/docs?ref=broward.ghost.io" TargetMode="External"/><Relationship Id="rId62" Type="http://schemas.openxmlformats.org/officeDocument/2006/relationships/hyperlink" Target="https://broward.ghost.io/2022/11/18/boeing-revisited/" TargetMode="External"/><Relationship Id="rId63" Type="http://schemas.openxmlformats.org/officeDocument/2006/relationships/hyperlink" Target="https://broward.ghost.io/2021/02/28/e-commerce-systems/" TargetMode="External"/><Relationship Id="rId64" Type="http://schemas.openxmlformats.org/officeDocument/2006/relationships/hyperlink" Target="https://broward.ghost.io/aetna)" TargetMode="External"/><Relationship Id="rId65" Type="http://schemas.openxmlformats.org/officeDocument/2006/relationships/hyperlink" Target="https://broward.ghost.io/2015/05/17/simple-kafka-monitor-using-opendmk-jmx-2-0/" TargetMode="External"/><Relationship Id="rId66" Type="http://schemas.openxmlformats.org/officeDocument/2006/relationships/hyperlink" Target="https://raw.githubusercontent.com/broward/images/master/Architecture/CrossSignFlow.jpg?ref=broward.ghost.io" TargetMode="External"/><Relationship Id="rId67" Type="http://schemas.openxmlformats.org/officeDocument/2006/relationships/hyperlink" Target="https://broward.ghost.io/2023/01/13/skittles-autopsy/" TargetMode="External"/><Relationship Id="rId68" Type="http://schemas.openxmlformats.org/officeDocument/2006/relationships/hyperlink" Target="https://broward.ghost.io/2014/01/09/defcon/" TargetMode="External"/><Relationship Id="rId69" Type="http://schemas.openxmlformats.org/officeDocument/2006/relationships/hyperlink" Target="https://broward.ghost.io/texas_depo" TargetMode="External"/><Relationship Id="rId70" Type="http://schemas.openxmlformats.org/officeDocument/2006/relationships/hyperlink" Target="https://broward.ghost.io/BRICS" TargetMode="External"/><Relationship Id="rId71" Type="http://schemas.openxmlformats.org/officeDocument/2006/relationships/hyperlink" Target="https://broward.ghost.io/aws_app_1" TargetMode="External"/><Relationship Id="rId72" Type="http://schemas.openxmlformats.org/officeDocument/2006/relationships/hyperlink" Target="https://broward.ghost.io/stablecoin_hack" TargetMode="External"/><Relationship Id="rId73" Type="http://schemas.openxmlformats.org/officeDocument/2006/relationships/hyperlink" Target="https://broward.ghost.io/miner_bankruptcy" TargetMode="External"/><Relationship Id="rId74" Type="http://schemas.openxmlformats.org/officeDocument/2006/relationships/hyperlink" Target="https://broward.ghost.io/polymorphic_api/" TargetMode="External"/><Relationship Id="rId75" Type="http://schemas.openxmlformats.org/officeDocument/2006/relationships/hyperlink" Target="https://broward.ghost.io/crypto_platform" TargetMode="External"/><Relationship Id="rId76" Type="http://schemas.openxmlformats.org/officeDocument/2006/relationships/hyperlink" Target="https://broward.ghost.io/payment_system" TargetMode="External"/><Relationship Id="rId77" Type="http://schemas.openxmlformats.org/officeDocument/2006/relationships/hyperlink" Target="https://broward.ghost.io/bitcoin_scalability" TargetMode="External"/><Relationship Id="rId78" Type="http://schemas.openxmlformats.org/officeDocument/2006/relationships/hyperlink" Target="https://broward.ghost.io/digital_money_trust" TargetMode="External"/><Relationship Id="rId79" Type="http://schemas.openxmlformats.org/officeDocument/2006/relationships/hyperlink" Target="https://broward.ghost.io/digital_on_IoT" TargetMode="External"/><Relationship Id="rId80" Type="http://schemas.openxmlformats.org/officeDocument/2006/relationships/hyperlink" Target="https://broward.ghost.io/aetna" TargetMode="External"/><Relationship Id="rId81" Type="http://schemas.openxmlformats.org/officeDocument/2006/relationships/hyperlink" Target="https://broward.ghost.io/avnet" TargetMode="External"/><Relationship Id="rId82" Type="http://schemas.openxmlformats.org/officeDocument/2006/relationships/hyperlink" Target="https://broward.ghost.io/multi-tenant" TargetMode="External"/><Relationship Id="rId83" Type="http://schemas.openxmlformats.org/officeDocument/2006/relationships/hyperlink" Target="https://broward.ghost.io/FHWA/" TargetMode="External"/><Relationship Id="rId84" Type="http://schemas.openxmlformats.org/officeDocument/2006/relationships/hyperlink" Target="https://broward.ghost.io/hack_the_planet" TargetMode="Externa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Relationship Id="rId8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3272</TotalTime>
  <Application>LibreOffice/24.2.6.2$Linux_X86_64 LibreOffice_project/420$Build-2</Application>
  <AppVersion>15.0000</AppVersion>
  <Pages>11</Pages>
  <Words>1711</Words>
  <Characters>9573</Characters>
  <CharactersWithSpaces>11279</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2024-10-28T18:01:49Z</cp:lastPrinted>
  <dcterms:modified xsi:type="dcterms:W3CDTF">2024-11-02T21:45:10Z</dcterms:modified>
  <cp:revision>359</cp:revision>
  <dc:subject/>
  <dc:title/>
</cp:coreProperties>
</file>

<file path=docProps/custom.xml><?xml version="1.0" encoding="utf-8"?>
<Properties xmlns="http://schemas.openxmlformats.org/officeDocument/2006/custom-properties" xmlns:vt="http://schemas.openxmlformats.org/officeDocument/2006/docPropsVTypes"/>
</file>