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jpeg" ContentType="image/jpeg"/>
  <Override PartName="/word/media/image14.jpeg" ContentType="image/jpeg"/>
  <Override PartName="/word/media/image1.png" ContentType="image/png"/>
  <Override PartName="/word/media/image2.jpeg" ContentType="image/jpeg"/>
  <Override PartName="/word/media/image4.jpeg" ContentType="image/jpeg"/>
  <Override PartName="/word/media/image5.jpeg" ContentType="image/jpeg"/>
  <Override PartName="/word/media/image3.jpeg" ContentType="image/jpeg"/>
  <Override PartName="/word/media/image6.png" ContentType="image/png"/>
  <Override PartName="/word/media/image10.jpeg" ContentType="image/jpeg"/>
  <Override PartName="/word/media/image7.jpeg" ContentType="image/jpeg"/>
  <Override PartName="/word/media/image9.jpeg" ContentType="image/jpeg"/>
  <Override PartName="/word/media/image12.jpeg" ContentType="image/jpeg"/>
  <Override PartName="/word/media/image8.png" ContentType="image/png"/>
  <Override PartName="/word/media/image11.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0" w:after="115"/>
        <w:jc w:val="left"/>
        <w:rPr>
          <w:color w:val="5B9BD5"/>
        </w:rPr>
      </w:pPr>
      <w:r>
        <w:drawing>
          <wp:anchor behindDoc="0" distT="0" distB="0" distL="0" distR="0" simplePos="0" locked="0" layoutInCell="0" allowOverlap="1" relativeHeight="2">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a:noFill/>
                  </pic:spPr>
                </pic:pic>
              </a:graphicData>
            </a:graphic>
          </wp:anchor>
        </w:drawing>
      </w:r>
      <w:r>
        <w:rPr>
          <w:color w:val="5B9BD5"/>
        </w:rPr>
        <w:t>GOLD DIGR White Paper – 2024, Ver 7</w:t>
      </w:r>
    </w:p>
    <w:p>
      <w:pPr>
        <w:pStyle w:val="Heading2"/>
        <w:rPr/>
      </w:pPr>
      <w:r>
        <w:rPr/>
        <w:t>Broward Horne, Tallahassee, FL</w:t>
      </w:r>
    </w:p>
    <w:p>
      <w:pPr>
        <w:pStyle w:val="Heading2"/>
        <w:rPr/>
      </w:pPr>
      <w:r>
        <w:rPr>
          <w:rStyle w:val="Hyperlink"/>
        </w:rPr>
        <w:t>browardhorne@gmail.com</w:t>
      </w:r>
    </w:p>
    <w:p>
      <w:pPr>
        <w:pStyle w:val="Heading2"/>
        <w:rPr/>
      </w:pPr>
      <w:hyperlink r:id="rId3">
        <w:r>
          <w:rPr>
            <w:rStyle w:val="Hyperlink"/>
          </w:rPr>
          <w:t>https://broward.ghost.io/tag/gold-token/</w:t>
        </w:r>
      </w:hyperlink>
    </w:p>
    <w:p>
      <w:pPr>
        <w:pStyle w:val="Normal"/>
        <w:bidi w:val="0"/>
        <w:jc w:val="left"/>
        <w:rPr/>
      </w:pPr>
      <w:r>
        <w:rPr/>
        <w:br/>
        <w:t xml:space="preserve">Download current version at </w:t>
      </w:r>
      <w:hyperlink r:id="rId4">
        <w:r>
          <w:rPr>
            <w:rStyle w:val="Hyperlink"/>
          </w:rPr>
          <w:t>https://broward.ghost.io/current-gold-paper</w:t>
        </w:r>
      </w:hyperlink>
    </w:p>
    <w:p>
      <w:pPr>
        <w:pStyle w:val="Heading3"/>
        <w:bidi w:val="0"/>
        <w:jc w:val="left"/>
        <w:rPr/>
      </w:pPr>
      <w:r>
        <w:rPr>
          <w:b/>
        </w:rPr>
        <w:t>Abstract</w:t>
      </w:r>
      <w:r>
        <w:rPr/>
        <w:t>:</w:t>
      </w:r>
    </w:p>
    <w:p>
      <w:pPr>
        <w:pStyle w:val="Normal"/>
        <w:bidi w:val="0"/>
        <w:jc w:val="left"/>
        <w:rPr/>
      </w:pPr>
      <w:r>
        <w:rPr/>
        <w:t xml:space="preserve">This paper contains three complementary proposals to create a </w:t>
      </w:r>
      <w:r>
        <w:rPr>
          <w:b/>
          <w:bCs/>
        </w:rPr>
        <w:t>State Depository Token (SDT)</w:t>
      </w:r>
      <w:r>
        <w:rPr/>
        <w:t xml:space="preserve"> backed by a State-regulated depository similar to Texas </w:t>
      </w:r>
      <w:hyperlink r:id="rId5">
        <w:r>
          <w:rPr>
            <w:rStyle w:val="Hyperlink"/>
          </w:rPr>
          <w:t>House Bill 1056</w:t>
        </w:r>
      </w:hyperlink>
      <w:r>
        <w:rPr/>
        <w:t xml:space="preserve"> and </w:t>
      </w:r>
      <w:hyperlink r:id="rId6">
        <w:r>
          <w:rPr>
            <w:rStyle w:val="Hyperlink"/>
          </w:rPr>
          <w:t>House Bill 1049</w:t>
        </w:r>
      </w:hyperlink>
    </w:p>
    <w:p>
      <w:pPr>
        <w:pStyle w:val="Normal"/>
        <w:bidi w:val="0"/>
        <w:jc w:val="left"/>
        <w:rPr/>
      </w:pPr>
      <w:r>
        <w:rPr/>
      </w:r>
    </w:p>
    <w:p>
      <w:pPr>
        <w:pStyle w:val="Normal"/>
        <w:bidi w:val="0"/>
        <w:jc w:val="left"/>
        <w:rPr/>
      </w:pPr>
      <w:r>
        <w:rPr/>
        <w:t>1)</w:t>
      </w:r>
      <w:hyperlink r:id="rId7">
        <w:r>
          <w:rPr>
            <w:rStyle w:val="Hyperlink"/>
          </w:rPr>
          <w:t xml:space="preserve"> </w:t>
        </w:r>
        <w:r>
          <w:rPr>
            <w:rStyle w:val="Hyperlink"/>
            <w:b/>
            <w:bCs/>
          </w:rPr>
          <w:t>GOLD DIGR</w:t>
        </w:r>
        <w:r>
          <w:rPr>
            <w:rStyle w:val="Hyperlink"/>
          </w:rPr>
          <w:t xml:space="preserve"> </w:t>
        </w:r>
      </w:hyperlink>
      <w:r>
        <w:rPr/>
        <w:t>is an overview of historical and political forces‚ current legislation and strategic design.</w:t>
      </w:r>
    </w:p>
    <w:p>
      <w:pPr>
        <w:pStyle w:val="Normal"/>
        <w:bidi w:val="0"/>
        <w:jc w:val="left"/>
        <w:rPr/>
      </w:pPr>
      <w:r>
        <w:rPr/>
      </w:r>
    </w:p>
    <w:p>
      <w:pPr>
        <w:pStyle w:val="Normal"/>
        <w:bidi w:val="0"/>
        <w:jc w:val="left"/>
        <w:rPr/>
      </w:pPr>
      <w:r>
        <w:rPr/>
        <w:t xml:space="preserve">2) </w:t>
      </w:r>
      <w:hyperlink r:id="rId8">
        <w:r>
          <w:rPr>
            <w:rStyle w:val="Hyperlink"/>
            <w:b/>
            <w:bCs/>
          </w:rPr>
          <w:t>TWG</w:t>
        </w:r>
        <w:r>
          <w:rPr>
            <w:rStyle w:val="Hyperlink"/>
          </w:rPr>
          <w:t xml:space="preserve"> proposes a multi-State task force </w:t>
        </w:r>
      </w:hyperlink>
      <w:r>
        <w:rPr/>
        <w:t>to develop a SDT framework for several States and partners.</w:t>
      </w:r>
    </w:p>
    <w:p>
      <w:pPr>
        <w:pStyle w:val="Normal"/>
        <w:bidi w:val="0"/>
        <w:jc w:val="left"/>
        <w:rPr/>
      </w:pPr>
      <w:r>
        <w:rPr/>
      </w:r>
    </w:p>
    <w:p>
      <w:pPr>
        <w:pStyle w:val="Normal"/>
        <w:bidi w:val="0"/>
        <w:jc w:val="left"/>
        <w:rPr/>
      </w:pPr>
      <w:r>
        <w:rPr/>
        <w:t xml:space="preserve">3) </w:t>
      </w:r>
      <w:hyperlink r:id="rId9">
        <w:r>
          <w:rPr>
            <w:rStyle w:val="Hyperlink"/>
            <w:b/>
            <w:bCs/>
          </w:rPr>
          <w:t>SXS</w:t>
        </w:r>
        <w:r>
          <w:rPr>
            <w:rStyle w:val="Hyperlink"/>
          </w:rPr>
          <w:t xml:space="preserve"> is an interstate exchange system</w:t>
        </w:r>
      </w:hyperlink>
      <w:r>
        <w:rPr/>
        <w:t xml:space="preserve"> like the evolving BRICS currency proposal.</w:t>
      </w:r>
    </w:p>
    <w:p>
      <w:pPr>
        <w:pStyle w:val="Normal"/>
        <w:bidi w:val="0"/>
        <w:jc w:val="left"/>
        <w:rPr>
          <w:b/>
        </w:rPr>
      </w:pPr>
      <w:r>
        <w:rPr>
          <w:b/>
        </w:rPr>
      </w:r>
    </w:p>
    <w:p>
      <w:pPr>
        <w:pStyle w:val="Normal"/>
        <w:bidi w:val="0"/>
        <w:jc w:val="left"/>
        <w:rPr/>
      </w:pPr>
      <w:r>
        <w:rPr>
          <w:b w:val="false"/>
          <w:bCs w:val="false"/>
        </w:rPr>
        <w:t>My goal is to create a real system via State funding‚ grants‚ consulting, sponsorship. etc.  I have the skills to do it, m</w:t>
      </w:r>
      <w:hyperlink r:id="rId10">
        <w:r>
          <w:rPr>
            <w:rStyle w:val="Hyperlink"/>
            <w:b w:val="false"/>
            <w:bCs w:val="false"/>
          </w:rPr>
          <w:t xml:space="preserve">y background is </w:t>
        </w:r>
        <w:r>
          <w:rPr>
            <w:rStyle w:val="Hyperlink"/>
          </w:rPr>
          <w:t>eclectic</w:t>
        </w:r>
      </w:hyperlink>
      <w:r>
        <w:rPr>
          <w:b w:val="false"/>
          <w:bCs w:val="false"/>
        </w:rPr>
        <w:t xml:space="preserve"> and spans startups‚ corporations‚ State and Federal systems for 35 years.</w:t>
      </w:r>
    </w:p>
    <w:p>
      <w:pPr>
        <w:pStyle w:val="Heading3"/>
        <w:rPr/>
      </w:pPr>
      <w:r>
        <w:rPr/>
        <w:t>System Overview</w:t>
      </w:r>
    </w:p>
    <w:p>
      <w:pPr>
        <w:pStyle w:val="Normal"/>
        <w:bidi w:val="0"/>
        <w:jc w:val="left"/>
        <w:rPr>
          <w:b w:val="false"/>
          <w:bCs w:val="false"/>
        </w:rPr>
      </w:pPr>
      <w:r>
        <w:rPr>
          <w:b w:val="false"/>
          <w:bCs w:val="false"/>
        </w:rPr>
        <w:drawing>
          <wp:anchor behindDoc="0" distT="0" distB="0" distL="0" distR="0" simplePos="0" locked="0" layoutInCell="0" allowOverlap="1" relativeHeight="8">
            <wp:simplePos x="0" y="0"/>
            <wp:positionH relativeFrom="column">
              <wp:posOffset>504190</wp:posOffset>
            </wp:positionH>
            <wp:positionV relativeFrom="paragraph">
              <wp:posOffset>89535</wp:posOffset>
            </wp:positionV>
            <wp:extent cx="5886450" cy="197739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11"/>
                    <a:stretch>
                      <a:fillRect/>
                    </a:stretch>
                  </pic:blipFill>
                  <pic:spPr bwMode="auto">
                    <a:xfrm>
                      <a:off x="0" y="0"/>
                      <a:ext cx="5886450" cy="1977390"/>
                    </a:xfrm>
                    <a:prstGeom prst="rect">
                      <a:avLst/>
                    </a:prstGeom>
                    <a:noFill/>
                  </pic:spPr>
                </pic:pic>
              </a:graphicData>
            </a:graphic>
          </wp:anchor>
        </w:drawing>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pPr>
      <w:r>
        <w:rPr/>
      </w:r>
    </w:p>
    <w:p>
      <w:pPr>
        <w:pStyle w:val="Heading4"/>
        <w:bidi w:val="0"/>
        <w:jc w:val="left"/>
        <w:rPr>
          <w:b/>
        </w:rPr>
      </w:pPr>
      <w:r>
        <w:rPr>
          <w:b/>
        </w:rPr>
      </w:r>
    </w:p>
    <w:p>
      <w:pPr>
        <w:pStyle w:val="Normal"/>
        <w:rPr/>
      </w:pPr>
      <w:r>
        <w:rPr/>
      </w:r>
    </w:p>
    <w:p>
      <w:pPr>
        <w:pStyle w:val="Normal"/>
        <w:rPr/>
      </w:pPr>
      <w:r>
        <w:rPr/>
        <w:t>Imagine a monetary system which conforms to the reality of economic transactions.  Transactions are a mirror of relationships.  Relationships are largely a function of location.  For many years, the US monetary system was a rough approximation of this.  Call it an “impedance-matched currency” or SDT.</w:t>
      </w:r>
    </w:p>
    <w:p>
      <w:pPr>
        <w:pStyle w:val="Normal"/>
        <w:rPr/>
      </w:pPr>
      <w:r>
        <w:rPr/>
      </w:r>
    </w:p>
    <w:p>
      <w:pPr>
        <w:pStyle w:val="Normal"/>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94830" cy="2145665"/>
            <wp:effectExtent l="0" t="0" r="0" b="0"/>
            <wp:wrapSquare wrapText="largest"/>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12"/>
                    <a:stretch>
                      <a:fillRect/>
                    </a:stretch>
                  </pic:blipFill>
                  <pic:spPr bwMode="auto">
                    <a:xfrm>
                      <a:off x="0" y="0"/>
                      <a:ext cx="6894830" cy="2145665"/>
                    </a:xfrm>
                    <a:prstGeom prst="rect">
                      <a:avLst/>
                    </a:prstGeom>
                    <a:noFill/>
                  </pic:spPr>
                </pic:pic>
              </a:graphicData>
            </a:graphic>
          </wp:anchor>
        </w:drawing>
      </w:r>
    </w:p>
    <w:p>
      <w:pPr>
        <w:pStyle w:val="Heading4"/>
        <w:bidi w:val="0"/>
        <w:jc w:val="left"/>
        <w:rPr/>
      </w:pPr>
      <w:r>
        <w:rPr>
          <w:b/>
        </w:rPr>
        <w:t>Parasocial Relationship</w:t>
      </w:r>
    </w:p>
    <w:p>
      <w:pPr>
        <w:pStyle w:val="Normal"/>
        <w:rPr/>
      </w:pPr>
      <w:r>
        <w:rPr/>
        <w:t xml:space="preserve">Parasocial relationships are one-sided, where one party extends energy and time with the other party unaware of the other’s existence.  </w:t>
      </w:r>
      <w:r>
        <w:rPr>
          <w:rFonts w:ascii="Times new roman" w:hAnsi="Times new roman"/>
          <w:b w:val="false"/>
          <w:i w:val="false"/>
          <w:caps w:val="false"/>
          <w:smallCaps w:val="false"/>
          <w:color w:val="333333"/>
          <w:spacing w:val="0"/>
          <w:sz w:val="24"/>
          <w:szCs w:val="24"/>
        </w:rPr>
        <w:t>The dollar is an increasingly parasocial relationship which transfers value from citizens to an elite minority, just as a celebrity profits from fans with no knowledge or concern for them, which is why tax money now flows to other countries and people with no direct benefit to taxpayers. </w:t>
      </w:r>
    </w:p>
    <w:p>
      <w:pPr>
        <w:pStyle w:val="Normal"/>
        <w:rPr/>
      </w:pPr>
      <w:r>
        <w:rPr/>
      </w:r>
    </w:p>
    <w:p>
      <w:pPr>
        <w:pStyle w:val="Normal"/>
        <w:rPr/>
      </w:pPr>
      <w:r>
        <w:rPr/>
        <w:t>An impedance-matched token would adapt to regional and local conditions and requirements.</w:t>
      </w:r>
    </w:p>
    <w:p>
      <w:pPr>
        <w:pStyle w:val="Normal"/>
        <w:rPr/>
      </w:pPr>
      <w:r>
        <w:rPr/>
        <w:drawing>
          <wp:anchor behindDoc="0" distT="0" distB="0" distL="0" distR="0" simplePos="0" locked="0" layoutInCell="0" allowOverlap="1" relativeHeight="11">
            <wp:simplePos x="0" y="0"/>
            <wp:positionH relativeFrom="column">
              <wp:posOffset>47625</wp:posOffset>
            </wp:positionH>
            <wp:positionV relativeFrom="paragraph">
              <wp:posOffset>104775</wp:posOffset>
            </wp:positionV>
            <wp:extent cx="6894830" cy="2047875"/>
            <wp:effectExtent l="0" t="0" r="0" b="0"/>
            <wp:wrapSquare wrapText="largest"/>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13"/>
                    <a:stretch>
                      <a:fillRect/>
                    </a:stretch>
                  </pic:blipFill>
                  <pic:spPr bwMode="auto">
                    <a:xfrm>
                      <a:off x="0" y="0"/>
                      <a:ext cx="6894830" cy="2047875"/>
                    </a:xfrm>
                    <a:prstGeom prst="rect">
                      <a:avLst/>
                    </a:prstGeom>
                    <a:noFill/>
                  </pic:spPr>
                </pic:pic>
              </a:graphicData>
            </a:graphic>
          </wp:anchor>
        </w:drawing>
      </w:r>
    </w:p>
    <w:p>
      <w:pPr>
        <w:pStyle w:val="Heading4"/>
        <w:bidi w:val="0"/>
        <w:jc w:val="left"/>
        <w:rPr/>
      </w:pPr>
      <w:r>
        <w:rPr>
          <w:b/>
        </w:rPr>
        <w:t>Impedance-Matched Token</w:t>
      </w:r>
    </w:p>
    <w:p>
      <w:pPr>
        <w:pStyle w:val="Normal"/>
        <w:bidi w:val="0"/>
        <w:jc w:val="left"/>
        <w:rPr/>
      </w:pPr>
      <w:r>
        <w:rPr/>
        <w:t>The Euro is somewhat like harnessing a horse, a mule, a dog and a turtle to pull a wagon. A "one size fits all" strategy creates stresses because regions have different resources, skills, goals. Most economic transactions are local and an SDT would be controlled regionally to meet regional conditions.</w:t>
      </w:r>
    </w:p>
    <w:p>
      <w:pPr>
        <w:pStyle w:val="Normal"/>
        <w:bidi w:val="0"/>
        <w:jc w:val="left"/>
        <w:rPr/>
      </w:pPr>
      <w:r>
        <w:rPr/>
        <w:drawing>
          <wp:anchor behindDoc="0" distT="0" distB="0" distL="0" distR="0" simplePos="0" locked="0" layoutInCell="0" allowOverlap="1" relativeHeight="10">
            <wp:simplePos x="0" y="0"/>
            <wp:positionH relativeFrom="column">
              <wp:align>center</wp:align>
            </wp:positionH>
            <wp:positionV relativeFrom="paragraph">
              <wp:posOffset>283210</wp:posOffset>
            </wp:positionV>
            <wp:extent cx="6829425" cy="4337050"/>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14"/>
                    <a:stretch>
                      <a:fillRect/>
                    </a:stretch>
                  </pic:blipFill>
                  <pic:spPr bwMode="auto">
                    <a:xfrm>
                      <a:off x="0" y="0"/>
                      <a:ext cx="6829425" cy="4337050"/>
                    </a:xfrm>
                    <a:prstGeom prst="rect">
                      <a:avLst/>
                    </a:prstGeom>
                    <a:noFill/>
                  </pic:spPr>
                </pic:pic>
              </a:graphicData>
            </a:graphic>
          </wp:anchor>
        </w:drawing>
      </w:r>
      <w:r>
        <w:br w:type="page"/>
      </w:r>
    </w:p>
    <w:p>
      <w:pPr>
        <w:pStyle w:val="Heading3"/>
        <w:bidi w:val="0"/>
        <w:spacing w:before="0" w:after="115"/>
        <w:jc w:val="left"/>
        <w:rPr/>
      </w:pPr>
      <w:r>
        <w:rPr/>
        <w:t xml:space="preserve">Historical Background </w:t>
      </w:r>
    </w:p>
    <w:p>
      <w:pPr>
        <w:pStyle w:val="Normal"/>
        <w:bidi w:val="0"/>
        <w:jc w:val="left"/>
        <w:rPr>
          <w:b w:val="false"/>
          <w:bCs w:val="false"/>
        </w:rPr>
      </w:pPr>
      <w:r>
        <w:rPr>
          <w:b w:val="false"/>
          <w:bCs w:val="false"/>
        </w:rPr>
        <w:t>This current period of fiat currency has already lasted longer than previous fiats of the past several hundred years and contrary forces are aligning against it. Russia and China have planned to end the fiat dollar for fifteen years, the US dollar is ripe for replacement as the world reserve currency, and the current Federal debt is unsustainable.</w:t>
      </w:r>
    </w:p>
    <w:p>
      <w:pPr>
        <w:pStyle w:val="Normal"/>
        <w:bidi w:val="0"/>
        <w:jc w:val="left"/>
        <w:rPr>
          <w:b/>
        </w:rPr>
      </w:pPr>
      <w:r>
        <w:rPr>
          <w:b/>
        </w:rPr>
      </w:r>
    </w:p>
    <w:p>
      <w:pPr>
        <w:pStyle w:val="Heading3"/>
        <w:bidi w:val="0"/>
        <w:spacing w:before="0" w:after="115"/>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briefly abandoned its gold standard in unusual situations (Civil war, World War 1, etc). Russia's central bank has steadily increased gold reserves since 2009 to over 2,330 metric tons. China has consistently increased gold reserves since 2009 to over 2,264 metric tons.</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token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894830" cy="150431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15"/>
                    <a:stretch>
                      <a:fillRect/>
                    </a:stretch>
                  </pic:blipFill>
                  <pic:spPr bwMode="auto">
                    <a:xfrm>
                      <a:off x="0" y="0"/>
                      <a:ext cx="6894830" cy="1504315"/>
                    </a:xfrm>
                    <a:prstGeom prst="rect">
                      <a:avLst/>
                    </a:prstGeom>
                    <a:noFill/>
                  </pic:spPr>
                </pic:pic>
              </a:graphicData>
            </a:graphic>
          </wp:anchor>
        </w:drawing>
      </w:r>
      <w:r>
        <w:rPr>
          <w:b/>
        </w:rPr>
        <w:br/>
        <w:t>Interest Payments</w:t>
      </w:r>
    </w:p>
    <w:p>
      <w:pPr>
        <w:pStyle w:val="Normal"/>
        <w:bidi w:val="0"/>
        <w:jc w:val="left"/>
        <w:rPr/>
      </w:pPr>
      <w:r>
        <w:rPr/>
        <w:t xml:space="preserve">The current rate of increase in </w:t>
      </w:r>
      <w:hyperlink r:id="rId16">
        <w:r>
          <w:rPr>
            <w:rStyle w:val="Hyperlink"/>
          </w:rPr>
          <w:t>Federal debt interest payments</w:t>
        </w:r>
      </w:hyperlink>
      <w:r>
        <w:rPr/>
        <w:t xml:space="preserve"> is unsustainable.</w:t>
      </w:r>
    </w:p>
    <w:p>
      <w:pPr>
        <w:pStyle w:val="Normal"/>
        <w:bidi w:val="0"/>
        <w:jc w:val="left"/>
        <w:rPr/>
      </w:pPr>
      <w:r>
        <w:rPr/>
      </w:r>
    </w:p>
    <w:p>
      <w:pPr>
        <w:pStyle w:val="Normal"/>
        <w:bidi w:val="0"/>
        <w:jc w:val="left"/>
        <w:rPr>
          <w:b/>
        </w:rPr>
      </w:pPr>
      <w:r>
        <w:rPr>
          <w:b/>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894830" cy="28936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7"/>
                    <a:stretch>
                      <a:fillRect/>
                    </a:stretch>
                  </pic:blipFill>
                  <pic:spPr bwMode="auto">
                    <a:xfrm>
                      <a:off x="0" y="0"/>
                      <a:ext cx="6894830" cy="2893695"/>
                    </a:xfrm>
                    <a:prstGeom prst="rect">
                      <a:avLst/>
                    </a:prstGeom>
                    <a:noFill/>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p>
    <w:p>
      <w:pPr>
        <w:pStyle w:val="Heading3"/>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94830" cy="3753485"/>
            <wp:effectExtent l="0" t="0" r="0" b="0"/>
            <wp:wrapSquare wrapText="largest"/>
            <wp:docPr id="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pic:cNvPicPr>
                      <a:picLocks noChangeAspect="1" noChangeArrowheads="1"/>
                    </pic:cNvPicPr>
                  </pic:nvPicPr>
                  <pic:blipFill>
                    <a:blip r:embed="rId18"/>
                    <a:stretch>
                      <a:fillRect/>
                    </a:stretch>
                  </pic:blipFill>
                  <pic:spPr bwMode="auto">
                    <a:xfrm>
                      <a:off x="0" y="0"/>
                      <a:ext cx="6894830" cy="3753485"/>
                    </a:xfrm>
                    <a:prstGeom prst="rect">
                      <a:avLst/>
                    </a:prstGeom>
                    <a:noFill/>
                  </pic:spPr>
                </pic:pic>
              </a:graphicData>
            </a:graphic>
          </wp:anchor>
        </w:drawing>
      </w:r>
      <w:r>
        <w:rPr>
          <w:b/>
        </w:rPr>
        <w:t>De-dollarization</w:t>
      </w:r>
    </w:p>
    <w:p>
      <w:pPr>
        <w:pStyle w:val="Normal"/>
        <w:bidi w:val="0"/>
        <w:jc w:val="left"/>
        <w:rPr/>
      </w:pPr>
      <w:r>
        <w:rPr/>
        <w:t>The BRICS coalition will use their oligopoly power to control commodity prices and bypass the US Dollar. BRICS  control 50% of the world's food supply, 70% of the microchip supply (China + Taiwan) and almost 50% of world oil reserves.  As of Oct, 2024, 13 more countries joined BRICS as limited partners.</w:t>
      </w:r>
    </w:p>
    <w:p>
      <w:pPr>
        <w:pStyle w:val="Normal"/>
        <w:bidi w:val="0"/>
        <w:jc w:val="left"/>
        <w:rPr/>
      </w:pPr>
      <w:r>
        <w:rPr/>
      </w:r>
    </w:p>
    <w:p>
      <w:pPr>
        <w:pStyle w:val="Normal"/>
        <w:bidi w:val="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672580" cy="3571875"/>
            <wp:effectExtent l="0" t="0" r="0" b="0"/>
            <wp:wrapSquare wrapText="largest"/>
            <wp:docPr id="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descr=""/>
                    <pic:cNvPicPr>
                      <a:picLocks noChangeAspect="1" noChangeArrowheads="1"/>
                    </pic:cNvPicPr>
                  </pic:nvPicPr>
                  <pic:blipFill>
                    <a:blip r:embed="rId19"/>
                    <a:stretch>
                      <a:fillRect/>
                    </a:stretch>
                  </pic:blipFill>
                  <pic:spPr bwMode="auto">
                    <a:xfrm>
                      <a:off x="0" y="0"/>
                      <a:ext cx="6672580" cy="3571875"/>
                    </a:xfrm>
                    <a:prstGeom prst="rect">
                      <a:avLst/>
                    </a:prstGeom>
                    <a:noFill/>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20">
        <w:r>
          <w:rPr>
            <w:rStyle w:val="Hyperlink"/>
          </w:rPr>
          <w:t>political and economic movement</w:t>
        </w:r>
      </w:hyperlink>
      <w:r>
        <w:rPr/>
        <w:t xml:space="preserve"> that advocates for a stable, reliable currency and believes central banks should not manipulate currency for political gain and that a gold or silver standard would provide greater stability. The movement supports precious metal legislation in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depository</w:t>
      </w:r>
    </w:p>
    <w:p>
      <w:pPr>
        <w:pStyle w:val="Normal"/>
        <w:numPr>
          <w:ilvl w:val="0"/>
          <w:numId w:val="1"/>
        </w:numPr>
        <w:bidi w:val="0"/>
        <w:jc w:val="left"/>
        <w:rPr/>
      </w:pPr>
      <w:r>
        <w:rPr/>
        <w:t>Create a SDT token backed by the depository</w:t>
      </w:r>
    </w:p>
    <w:p>
      <w:pPr>
        <w:pStyle w:val="Normal"/>
        <w:bidi w:val="0"/>
        <w:jc w:val="left"/>
        <w:rPr/>
      </w:pPr>
      <w:r>
        <w:rPr/>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496050" cy="337248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21"/>
                    <a:stretch>
                      <a:fillRect/>
                    </a:stretch>
                  </pic:blipFill>
                  <pic:spPr bwMode="auto">
                    <a:xfrm>
                      <a:off x="0" y="0"/>
                      <a:ext cx="6496050" cy="3372485"/>
                    </a:xfrm>
                    <a:prstGeom prst="rect">
                      <a:avLst/>
                    </a:prstGeom>
                    <a:noFill/>
                  </pic:spPr>
                </pic:pic>
              </a:graphicData>
            </a:graphic>
          </wp:anchor>
        </w:drawing>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t>Depository Legislation:</w:t>
      </w:r>
    </w:p>
    <w:p>
      <w:pPr>
        <w:pStyle w:val="Normal"/>
        <w:bidi w:val="0"/>
        <w:jc w:val="left"/>
        <w:rPr/>
      </w:pPr>
      <w:hyperlink r:id="rId22">
        <w:r>
          <w:rPr>
            <w:rStyle w:val="Hyperlink"/>
            <w:b/>
          </w:rPr>
          <w:t>Texas Bullion Depository Bill</w:t>
        </w:r>
      </w:hyperlink>
      <w:r>
        <w:rPr/>
        <w:t xml:space="preserve"> - Signed into law in 2015 to create a State bullion depository.</w:t>
      </w:r>
    </w:p>
    <w:p>
      <w:pPr>
        <w:pStyle w:val="Normal"/>
        <w:bidi w:val="0"/>
        <w:jc w:val="left"/>
        <w:rPr/>
      </w:pPr>
      <w:hyperlink r:id="rId23">
        <w:r>
          <w:rPr>
            <w:rStyle w:val="Hyperlink"/>
            <w:b/>
          </w:rPr>
          <w:t>2023: Tennessee Bullion Depository Act</w:t>
        </w:r>
      </w:hyperlink>
      <w:r>
        <w:rPr>
          <w:rStyle w:val="Hyperlink"/>
          <w:b/>
        </w:rPr>
        <w:t xml:space="preserve"> SB 150</w:t>
      </w:r>
      <w:r>
        <w:rPr/>
        <w:t xml:space="preserve"> - Establish a precious metals depository.</w:t>
      </w:r>
    </w:p>
    <w:p>
      <w:pPr>
        <w:pStyle w:val="Normal"/>
        <w:bidi w:val="0"/>
        <w:jc w:val="left"/>
        <w:rPr/>
      </w:pPr>
      <w:hyperlink r:id="rId24">
        <w:r>
          <w:rPr>
            <w:rStyle w:val="Hyperlink"/>
            <w:b/>
          </w:rPr>
          <w:t>2023: Mississippi SB 2966</w:t>
        </w:r>
      </w:hyperlink>
      <w:r>
        <w:rPr/>
        <w:t xml:space="preserve"> - Establish the Mississippi bullion depository</w:t>
      </w:r>
    </w:p>
    <w:p>
      <w:pPr>
        <w:pStyle w:val="Normal"/>
        <w:bidi w:val="0"/>
        <w:jc w:val="left"/>
        <w:rPr/>
      </w:pPr>
      <w:hyperlink r:id="rId25">
        <w:r>
          <w:rPr>
            <w:rStyle w:val="Hyperlink"/>
            <w:b/>
          </w:rPr>
          <w:t>2023: Missouri HB 718</w:t>
        </w:r>
      </w:hyperlink>
      <w:r>
        <w:rPr/>
        <w:t xml:space="preserve"> - Create the “Missouri Bullion Depository.”</w:t>
      </w:r>
    </w:p>
    <w:p>
      <w:pPr>
        <w:pStyle w:val="Normal"/>
        <w:bidi w:val="0"/>
        <w:jc w:val="left"/>
        <w:rPr/>
      </w:pPr>
      <w:hyperlink r:id="rId26">
        <w:r>
          <w:rPr>
            <w:rStyle w:val="Hyperlink"/>
            <w:b/>
          </w:rPr>
          <w:t>2023: North Carolina H 721</w:t>
        </w:r>
      </w:hyperlink>
      <w:r>
        <w:rPr/>
        <w:t xml:space="preserve"> - State Precious Metals Depository Study</w:t>
      </w:r>
    </w:p>
    <w:p>
      <w:pPr>
        <w:pStyle w:val="Normal"/>
        <w:bidi w:val="0"/>
        <w:jc w:val="left"/>
        <w:rPr/>
      </w:pPr>
      <w:hyperlink r:id="rId27">
        <w:r>
          <w:rPr>
            <w:rStyle w:val="Hyperlink"/>
            <w:b/>
          </w:rPr>
          <w:t>2023: Idaho H 0180</w:t>
        </w:r>
      </w:hyperlink>
      <w:r>
        <w:rPr/>
        <w:t xml:space="preserve"> - Invest in precious metals held in a secure depository</w:t>
      </w:r>
    </w:p>
    <w:p>
      <w:pPr>
        <w:pStyle w:val="Normal"/>
        <w:bidi w:val="0"/>
        <w:jc w:val="left"/>
        <w:rPr/>
      </w:pPr>
      <w:hyperlink r:id="rId28">
        <w:r>
          <w:rPr>
            <w:rStyle w:val="Hyperlink"/>
            <w:b/>
          </w:rPr>
          <w:t>2023: Oklahoma SB 816</w:t>
        </w:r>
      </w:hyperlink>
      <w:r>
        <w:rPr/>
        <w:t xml:space="preserve"> - Establish a State Treasury Depository</w:t>
      </w:r>
    </w:p>
    <w:p>
      <w:pPr>
        <w:pStyle w:val="Normal"/>
        <w:bidi w:val="0"/>
        <w:jc w:val="left"/>
        <w:rPr/>
      </w:pPr>
      <w:hyperlink r:id="rId29">
        <w:r>
          <w:rPr>
            <w:rStyle w:val="Hyperlink"/>
            <w:b/>
          </w:rPr>
          <w:t>2023: Montana HB 0884</w:t>
        </w:r>
      </w:hyperlink>
      <w:r>
        <w:rPr/>
        <w:t xml:space="preserve"> - Department of Revenue authorizes a media of exchange using gold</w:t>
      </w:r>
    </w:p>
    <w:p>
      <w:pPr>
        <w:pStyle w:val="Normal"/>
        <w:bidi w:val="0"/>
        <w:jc w:val="left"/>
        <w:rPr/>
      </w:pPr>
      <w:hyperlink r:id="rId30">
        <w:r>
          <w:rPr>
            <w:rStyle w:val="Hyperlink"/>
            <w:b/>
            <w:bCs/>
          </w:rPr>
          <w:t xml:space="preserve">2024: Florida H 697 </w:t>
        </w:r>
      </w:hyperlink>
      <w:r>
        <w:rPr/>
        <w:t>- State Legal Tender and Bullion Depository</w:t>
      </w:r>
    </w:p>
    <w:p>
      <w:pPr>
        <w:pStyle w:val="Normal"/>
        <w:bidi w:val="0"/>
        <w:jc w:val="left"/>
        <w:rPr/>
      </w:pPr>
      <w:hyperlink r:id="rId31">
        <w:r>
          <w:rPr>
            <w:rStyle w:val="Hyperlink"/>
            <w:b/>
            <w:bCs/>
          </w:rPr>
          <w:t>2024: Louisiana SB 485</w:t>
        </w:r>
      </w:hyperlink>
      <w:r>
        <w:rPr>
          <w:b/>
          <w:bCs/>
        </w:rPr>
        <w:t xml:space="preserve"> </w:t>
      </w:r>
      <w:r>
        <w:rPr/>
        <w:t>- Management of the Louisiana Gold and Silver token Platform</w:t>
      </w:r>
    </w:p>
    <w:p>
      <w:pPr>
        <w:pStyle w:val="Normal"/>
        <w:bidi w:val="0"/>
        <w:jc w:val="left"/>
        <w:rPr/>
      </w:pPr>
      <w:hyperlink r:id="rId32">
        <w:r>
          <w:rPr>
            <w:rStyle w:val="Hyperlink"/>
            <w:b/>
            <w:bCs/>
          </w:rPr>
          <w:t>2024: West Virginia SB 749</w:t>
        </w:r>
      </w:hyperlink>
      <w:r>
        <w:rPr/>
        <w:t xml:space="preserve"> - Establish the West Virginia Bullion Depository</w:t>
      </w:r>
    </w:p>
    <w:p>
      <w:pPr>
        <w:pStyle w:val="Normal"/>
        <w:bidi w:val="0"/>
        <w:jc w:val="left"/>
        <w:rPr/>
      </w:pPr>
      <w:hyperlink r:id="rId33">
        <w:r>
          <w:rPr>
            <w:rStyle w:val="Hyperlink"/>
            <w:b/>
            <w:bCs/>
          </w:rPr>
          <w:t>2024: Arizona SB 1633</w:t>
        </w:r>
      </w:hyperlink>
      <w:r>
        <w:rPr/>
        <w:t xml:space="preserve"> - Establish Bullion Depository and Gold-Backed token</w:t>
      </w:r>
    </w:p>
    <w:p>
      <w:pPr>
        <w:pStyle w:val="Normal"/>
        <w:bidi w:val="0"/>
        <w:jc w:val="left"/>
        <w:rPr/>
      </w:pPr>
      <w:hyperlink r:id="rId34">
        <w:r>
          <w:rPr>
            <w:rStyle w:val="Hyperlink"/>
            <w:b/>
            <w:bCs/>
          </w:rPr>
          <w:t>2024: Kansas HB 2729</w:t>
        </w:r>
      </w:hyperlink>
      <w:r>
        <w:rPr>
          <w:b/>
          <w:bCs/>
        </w:rPr>
        <w:t xml:space="preserve"> </w:t>
      </w:r>
      <w:r>
        <w:rPr/>
        <w:t xml:space="preserve"> - Enacting the Kansas bullion depository act;</w:t>
      </w:r>
    </w:p>
    <w:p>
      <w:pPr>
        <w:pStyle w:val="Normal"/>
        <w:bidi w:val="0"/>
        <w:jc w:val="left"/>
        <w:rPr/>
      </w:pPr>
      <w:hyperlink r:id="rId35">
        <w:r>
          <w:rPr>
            <w:rStyle w:val="Hyperlink"/>
            <w:b/>
            <w:bCs/>
          </w:rPr>
          <w:t>2024: Iowa HF 2228</w:t>
        </w:r>
      </w:hyperlink>
      <w:r>
        <w:rPr>
          <w:b/>
          <w:bCs/>
        </w:rPr>
        <w:t xml:space="preserve"> </w:t>
      </w:r>
      <w:r>
        <w:rPr>
          <w:b w:val="false"/>
          <w:bCs w:val="false"/>
        </w:rPr>
        <w:t>- Establishment of a token based on gold and held in a bullion depository</w:t>
      </w:r>
    </w:p>
    <w:p>
      <w:pPr>
        <w:pStyle w:val="Normal"/>
        <w:bidi w:val="0"/>
        <w:jc w:val="left"/>
        <w:rPr/>
      </w:pPr>
      <w:hyperlink r:id="rId36">
        <w:r>
          <w:rPr>
            <w:rStyle w:val="Hyperlink"/>
            <w:b/>
            <w:bCs/>
          </w:rPr>
          <w:t xml:space="preserve">2024: New Hampshire H 1674 </w:t>
        </w:r>
      </w:hyperlink>
      <w:r>
        <w:rPr>
          <w:b w:val="false"/>
          <w:bCs w:val="false"/>
        </w:rPr>
        <w:t>- Establishes a state depository</w:t>
      </w:r>
    </w:p>
    <w:p>
      <w:pPr>
        <w:pStyle w:val="Normal"/>
        <w:bidi w:val="0"/>
        <w:jc w:val="left"/>
        <w:rPr/>
      </w:pPr>
      <w:hyperlink r:id="rId37">
        <w:r>
          <w:rPr>
            <w:rStyle w:val="Hyperlink"/>
            <w:rFonts w:ascii="times new roman" w:hAnsi="times new roman"/>
            <w:b/>
            <w:bCs/>
            <w:i w:val="false"/>
            <w:caps w:val="false"/>
            <w:smallCaps w:val="false"/>
            <w:sz w:val="26"/>
          </w:rPr>
          <w:t xml:space="preserve">2024: Utah HB 348 </w:t>
        </w:r>
      </w:hyperlink>
      <w:r>
        <w:rPr>
          <w:rFonts w:ascii="times new roman" w:hAnsi="times new roman"/>
          <w:b w:val="false"/>
          <w:bCs w:val="false"/>
          <w:i w:val="false"/>
          <w:caps w:val="false"/>
          <w:smallCaps w:val="false"/>
          <w:sz w:val="26"/>
        </w:rPr>
        <w:t>- Protect state funds with physical gold and silver</w:t>
      </w:r>
    </w:p>
    <w:p>
      <w:pPr>
        <w:pStyle w:val="Heading3"/>
        <w:rPr/>
      </w:pPr>
      <w:r>
        <w:rPr/>
        <w:t>Digital Token Legislation:</w:t>
      </w:r>
    </w:p>
    <w:p>
      <w:pPr>
        <w:pStyle w:val="Normal"/>
        <w:bidi w:val="0"/>
        <w:jc w:val="left"/>
        <w:rPr/>
      </w:pPr>
      <w:hyperlink r:id="rId38">
        <w:r>
          <w:rPr>
            <w:rStyle w:val="Hyperlink"/>
            <w:rFonts w:ascii="times new roman" w:hAnsi="times new roman"/>
            <w:b/>
            <w:bCs/>
            <w:i w:val="false"/>
            <w:caps w:val="false"/>
            <w:smallCaps w:val="false"/>
            <w:sz w:val="26"/>
          </w:rPr>
          <w:t xml:space="preserve">2023: Wyoming SF 0127 </w:t>
        </w:r>
      </w:hyperlink>
      <w:r>
        <w:rPr>
          <w:rFonts w:ascii="times new roman" w:hAnsi="times new roman"/>
          <w:b w:val="false"/>
          <w:bCs w:val="false"/>
          <w:i w:val="false"/>
          <w:caps w:val="false"/>
          <w:smallCaps w:val="false"/>
          <w:sz w:val="26"/>
        </w:rPr>
        <w:t>- Wyoming Stable Token Act.</w:t>
      </w:r>
    </w:p>
    <w:p>
      <w:pPr>
        <w:pStyle w:val="Normal"/>
        <w:bidi w:val="0"/>
        <w:jc w:val="left"/>
        <w:rPr/>
      </w:pPr>
      <w:hyperlink r:id="rId39">
        <w:r>
          <w:rPr>
            <w:rStyle w:val="Hyperlink"/>
            <w:rFonts w:ascii="times new roman" w:hAnsi="times new roman"/>
            <w:b/>
            <w:bCs/>
            <w:i w:val="false"/>
            <w:caps w:val="false"/>
            <w:smallCaps w:val="false"/>
            <w:sz w:val="26"/>
          </w:rPr>
          <w:t xml:space="preserve">2024: New Jersey AB 385 </w:t>
        </w:r>
      </w:hyperlink>
      <w:r>
        <w:rPr>
          <w:rFonts w:ascii="times new roman" w:hAnsi="times new roman"/>
          <w:b w:val="false"/>
          <w:bCs w:val="false"/>
          <w:i w:val="false"/>
          <w:caps w:val="false"/>
          <w:smallCaps w:val="false"/>
          <w:sz w:val="26"/>
        </w:rPr>
        <w:t>- Review/approve a blockchain digital payment platform</w:t>
      </w:r>
    </w:p>
    <w:p>
      <w:pPr>
        <w:pStyle w:val="Normal"/>
        <w:bidi w:val="0"/>
        <w:jc w:val="left"/>
        <w:rPr>
          <w:rFonts w:ascii="times new roman" w:hAnsi="times new roman"/>
          <w:b w:val="false"/>
          <w:bCs w:val="false"/>
          <w:i w:val="false"/>
          <w:i w:val="false"/>
          <w:caps w:val="false"/>
          <w:smallCaps w:val="false"/>
          <w:sz w:val="26"/>
        </w:rPr>
      </w:pPr>
      <w:hyperlink r:id="rId40">
        <w:r>
          <w:rPr>
            <w:rStyle w:val="Hyperlink"/>
            <w:rFonts w:ascii="times new roman" w:hAnsi="times new roman"/>
            <w:b/>
            <w:bCs/>
            <w:i w:val="false"/>
            <w:caps w:val="false"/>
            <w:smallCaps w:val="false"/>
            <w:sz w:val="26"/>
          </w:rPr>
          <w:t>2024: Rhode Island H7817</w:t>
        </w:r>
      </w:hyperlink>
      <w:r>
        <w:rPr>
          <w:rFonts w:ascii="times new roman" w:hAnsi="times new roman"/>
          <w:b w:val="false"/>
          <w:bCs w:val="false"/>
          <w:i w:val="false"/>
          <w:caps w:val="false"/>
          <w:smallCaps w:val="false"/>
          <w:sz w:val="26"/>
        </w:rPr>
        <w:t xml:space="preserve"> - </w:t>
      </w:r>
      <w:r>
        <w:rPr>
          <w:rFonts w:ascii="times new roman" w:hAnsi="times new roman"/>
          <w:b w:val="false"/>
          <w:bCs w:val="false"/>
          <w:i w:val="false"/>
          <w:caps w:val="false"/>
          <w:smallCaps w:val="false"/>
          <w:color w:val="000000"/>
          <w:spacing w:val="0"/>
          <w:sz w:val="26"/>
        </w:rPr>
        <w:t>Commission To Study Blockchain And Cryptocurrency</w:t>
      </w:r>
      <w:r>
        <w:br w:type="page"/>
      </w:r>
    </w:p>
    <w:p>
      <w:pPr>
        <w:pStyle w:val="Heading4"/>
        <w:spacing w:before="0" w:after="115"/>
        <w:rPr/>
      </w:pPr>
      <w:r>
        <w:rPr>
          <w:color w:val="00A933"/>
          <w:sz w:val="40"/>
          <w:szCs w:val="40"/>
        </w:rPr>
        <w:t>GOLD DIGR Proposal</w:t>
      </w:r>
      <w:r>
        <w:rPr/>
        <w:t xml:space="preserve"> </w:t>
      </w:r>
    </w:p>
    <w:p>
      <w:pPr>
        <w:pStyle w:val="Normal"/>
        <w:bidi w:val="0"/>
        <w:jc w:val="left"/>
        <w:rPr/>
      </w:pPr>
      <w:r>
        <w:rPr/>
        <w:t xml:space="preserve">This is an abstract high-level diagram of how the SDT works. </w:t>
      </w:r>
    </w:p>
    <w:p>
      <w:pPr>
        <w:pStyle w:val="Normal"/>
        <w:bidi w:val="0"/>
        <w:jc w:val="left"/>
        <w:rPr/>
      </w:pPr>
      <w:r>
        <w:rPr/>
      </w:r>
    </w:p>
    <w:p>
      <w:pPr>
        <w:sectPr>
          <w:type w:val="nextPage"/>
          <w:pgSz w:w="12240" w:h="15840"/>
          <w:pgMar w:left="691" w:right="691" w:gutter="0" w:header="0" w:top="461" w:footer="0" w:bottom="461"/>
          <w:pgNumType w:fmt="decimal"/>
          <w:formProt w:val="false"/>
          <w:textDirection w:val="lrTb"/>
          <w:docGrid w:type="default" w:linePitch="312" w:charSpace="0"/>
        </w:sectPr>
      </w:pPr>
    </w:p>
    <w:p>
      <w:pPr>
        <w:pStyle w:val="Normal"/>
        <w:bidi w:val="0"/>
        <w:jc w:val="left"/>
        <w:rPr/>
      </w:pPr>
      <w:r>
        <w:rPr>
          <w:b/>
        </w:rPr>
        <w:t>Depositories</w:t>
      </w:r>
      <w:r>
        <w:rPr/>
        <w:t>: stores gold deposits/currency.</w:t>
        <w:br/>
      </w:r>
      <w:r>
        <w:rPr>
          <w:b/>
        </w:rPr>
        <w:t>API Code</w:t>
      </w:r>
      <w:r>
        <w:rPr/>
        <w:t>: executes transactions and deposits</w:t>
        <w:br/>
      </w:r>
      <w:r>
        <w:drawing>
          <wp:anchor behindDoc="0" distT="0" distB="0" distL="0" distR="0" simplePos="0" locked="0" layoutInCell="0" allowOverlap="1" relativeHeight="14">
            <wp:simplePos x="0" y="0"/>
            <wp:positionH relativeFrom="column">
              <wp:posOffset>133350</wp:posOffset>
            </wp:positionH>
            <wp:positionV relativeFrom="paragraph">
              <wp:posOffset>548640</wp:posOffset>
            </wp:positionV>
            <wp:extent cx="6894830" cy="4399280"/>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41"/>
                    <a:stretch>
                      <a:fillRect/>
                    </a:stretch>
                  </pic:blipFill>
                  <pic:spPr bwMode="auto">
                    <a:xfrm>
                      <a:off x="0" y="0"/>
                      <a:ext cx="6894830" cy="4399280"/>
                    </a:xfrm>
                    <a:prstGeom prst="rect">
                      <a:avLst/>
                    </a:prstGeom>
                    <a:noFill/>
                  </pic:spPr>
                </pic:pic>
              </a:graphicData>
            </a:graphic>
          </wp:anchor>
        </w:drawing>
      </w:r>
      <w:r>
        <w:rPr/>
        <w:br/>
      </w:r>
      <w:r>
        <w:rPr>
          <w:b/>
        </w:rPr>
        <w:t>Quorum Blockchain</w:t>
      </w:r>
      <w:r>
        <w:rPr/>
        <w:t>: equivalent to accounting ledger</w:t>
        <w:br/>
      </w:r>
      <w:r>
        <w:rPr>
          <w:b/>
        </w:rPr>
        <w:t>Fireblocks</w:t>
      </w:r>
      <w:r>
        <w:rPr/>
        <w:t>: safety deposit box keys</w:t>
        <w:br/>
      </w:r>
      <w:r>
        <w:rPr>
          <w:b/>
        </w:rPr>
        <w:t>Client</w:t>
      </w:r>
      <w:r>
        <w:rPr/>
        <w:t>: Customer with assets in depository</w:t>
      </w:r>
    </w:p>
    <w:p>
      <w:pPr>
        <w:sectPr>
          <w:type w:val="continuous"/>
          <w:pgSz w:w="12240" w:h="15840"/>
          <w:pgMar w:left="691" w:right="691" w:gutter="0" w:header="0" w:top="461" w:footer="0" w:bottom="461"/>
          <w:cols w:num="2" w:space="0" w:equalWidth="true" w:sep="false"/>
          <w:formProt w:val="false"/>
          <w:textDirection w:val="lrTb"/>
          <w:docGrid w:type="default" w:linePitch="312" w:charSpace="0"/>
        </w:sectPr>
      </w:pPr>
    </w:p>
    <w:p>
      <w:pPr>
        <w:pStyle w:val="Heading3"/>
        <w:spacing w:before="0" w:after="115"/>
        <w:rPr/>
      </w:pPr>
      <w:r>
        <w:rPr/>
        <w:t>Sending A Transaction</w:t>
      </w:r>
    </w:p>
    <w:p>
      <w:pPr>
        <w:pStyle w:val="ListParagraph"/>
        <w:numPr>
          <w:ilvl w:val="0"/>
          <w:numId w:val="0"/>
        </w:numPr>
        <w:bidi w:val="0"/>
        <w:ind w:hanging="0" w:left="0"/>
        <w:jc w:val="left"/>
        <w:rPr/>
      </w:pPr>
      <w:r>
        <w:rPr/>
        <w:t>1. Client sends a transaction message to API Code</w:t>
      </w:r>
    </w:p>
    <w:p>
      <w:pPr>
        <w:pStyle w:val="Normal"/>
        <w:bidi w:val="0"/>
        <w:jc w:val="left"/>
        <w:rPr/>
      </w:pPr>
      <w:r>
        <w:rPr/>
      </w:r>
    </w:p>
    <w:p>
      <w:pPr>
        <w:pStyle w:val="BodyText"/>
        <w:bidi w:val="0"/>
        <w:spacing w:lineRule="auto" w:line="7" w:before="0" w:after="140"/>
        <w:jc w:val="left"/>
        <w:rPr/>
      </w:pPr>
      <w:r>
        <w:rPr>
          <w:rStyle w:val="SourceText"/>
        </w:rPr>
        <w:t xml:space="preserve">{  </w:t>
      </w:r>
    </w:p>
    <w:p>
      <w:pPr>
        <w:pStyle w:val="BodyText"/>
        <w:bidi w:val="0"/>
        <w:spacing w:lineRule="auto" w:line="7"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7" w:before="0" w:after="140"/>
        <w:jc w:val="left"/>
        <w:rPr/>
      </w:pPr>
      <w:r>
        <w:rPr>
          <w:rStyle w:val="SourceText"/>
          <w:rFonts w:ascii="Monaco;monospace" w:hAnsi="Monaco;monospace"/>
          <w:b w:val="false"/>
          <w:i w:val="false"/>
          <w:caps w:val="false"/>
          <w:smallCaps w:val="false"/>
          <w:sz w:val="24"/>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7"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7"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7"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7"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7"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7"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7"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7" w:before="0" w:after="140"/>
        <w:jc w:val="left"/>
        <w:rPr/>
      </w:pPr>
      <w:r>
        <w:rPr>
          <w:rStyle w:val="SourceText"/>
        </w:rPr>
        <w:t xml:space="preserve">}  </w:t>
      </w:r>
    </w:p>
    <w:p>
      <w:pPr>
        <w:pStyle w:val="Normal"/>
        <w:bidi w:val="0"/>
        <w:spacing w:lineRule="atLeast" w:line="0"/>
        <w:jc w:val="left"/>
        <w:rPr/>
      </w:pPr>
      <w:r>
        <w:rPr/>
      </w:r>
    </w:p>
    <w:p>
      <w:pPr>
        <w:pStyle w:val="ListParagraph"/>
        <w:numPr>
          <w:ilvl w:val="0"/>
          <w:numId w:val="0"/>
        </w:numPr>
        <w:bidi w:val="0"/>
        <w:spacing w:lineRule="auto" w:line="7"/>
        <w:ind w:hanging="0" w:left="0"/>
        <w:jc w:val="left"/>
        <w:rPr/>
      </w:pPr>
      <w:r>
        <w:rPr/>
        <w:t xml:space="preserve">2. API Code verifies and forwards message </w:t>
      </w:r>
      <w:r>
        <w:rPr/>
        <w:t>to</w:t>
      </w:r>
      <w:r>
        <w:rPr/>
        <w:t xml:space="preserve"> FireBlocks.</w:t>
      </w:r>
    </w:p>
    <w:p>
      <w:pPr>
        <w:pStyle w:val="ListParagraph"/>
        <w:numPr>
          <w:ilvl w:val="0"/>
          <w:numId w:val="0"/>
        </w:numPr>
        <w:bidi w:val="0"/>
        <w:spacing w:lineRule="auto" w:line="7"/>
        <w:ind w:hanging="0" w:left="0"/>
        <w:jc w:val="left"/>
        <w:rPr/>
      </w:pPr>
      <w:r>
        <w:rPr/>
      </w:r>
    </w:p>
    <w:p>
      <w:pPr>
        <w:pStyle w:val="ListParagraph"/>
        <w:numPr>
          <w:ilvl w:val="0"/>
          <w:numId w:val="0"/>
        </w:numPr>
        <w:bidi w:val="0"/>
        <w:spacing w:lineRule="auto" w:line="7"/>
        <w:ind w:hanging="0" w:left="0"/>
        <w:jc w:val="left"/>
        <w:rPr/>
      </w:pPr>
      <w:r>
        <w:rPr/>
        <w:t>3. FireBlocks verifies the payer, payee and payer’s balance.</w:t>
      </w:r>
    </w:p>
    <w:p>
      <w:pPr>
        <w:pStyle w:val="ListParagraph"/>
        <w:numPr>
          <w:ilvl w:val="0"/>
          <w:numId w:val="0"/>
        </w:numPr>
        <w:bidi w:val="0"/>
        <w:spacing w:lineRule="auto" w:line="7"/>
        <w:ind w:hanging="0" w:left="0"/>
        <w:jc w:val="left"/>
        <w:rPr/>
      </w:pPr>
      <w:r>
        <w:rPr/>
      </w:r>
    </w:p>
    <w:p>
      <w:pPr>
        <w:pStyle w:val="ListParagraph"/>
        <w:numPr>
          <w:ilvl w:val="0"/>
          <w:numId w:val="0"/>
        </w:numPr>
        <w:bidi w:val="0"/>
        <w:spacing w:lineRule="auto" w:line="7"/>
        <w:ind w:hanging="0" w:left="0"/>
        <w:jc w:val="left"/>
        <w:rPr/>
      </w:pPr>
      <w:r>
        <w:rPr/>
        <w:t>4. API Code creates blockchain entry and updates depositories.</w:t>
      </w:r>
    </w:p>
    <w:p>
      <w:pPr>
        <w:pStyle w:val="ListParagraph"/>
        <w:numPr>
          <w:ilvl w:val="0"/>
          <w:numId w:val="0"/>
        </w:numPr>
        <w:bidi w:val="0"/>
        <w:spacing w:lineRule="auto" w:line="7"/>
        <w:ind w:hanging="0" w:left="0"/>
        <w:jc w:val="left"/>
        <w:rPr/>
      </w:pPr>
      <w:r>
        <w:rPr/>
      </w:r>
    </w:p>
    <w:p>
      <w:pPr>
        <w:pStyle w:val="ListParagraph"/>
        <w:numPr>
          <w:ilvl w:val="0"/>
          <w:numId w:val="0"/>
        </w:numPr>
        <w:bidi w:val="0"/>
        <w:spacing w:lineRule="auto" w:line="7"/>
        <w:ind w:hanging="0" w:left="0"/>
        <w:jc w:val="left"/>
        <w:rPr/>
      </w:pPr>
      <w:r>
        <w:rPr/>
        <w:t>5. API Code sends result to client.</w:t>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42">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SDT platform. Here's an example.  </w:t>
      </w:r>
    </w:p>
    <w:p>
      <w:pPr>
        <w:pStyle w:val="Normal"/>
        <w:bidi w:val="0"/>
        <w:jc w:val="left"/>
        <w:rPr/>
      </w:pPr>
      <w:r>
        <w:rPr/>
      </w:r>
    </w:p>
    <w:p>
      <w:pPr>
        <w:pStyle w:val="Normal"/>
        <w:bidi w:val="0"/>
        <w:jc w:val="left"/>
        <w:rPr/>
      </w:pPr>
      <w:r>
        <w:rPr/>
        <w:drawing>
          <wp:anchor behindDoc="0" distT="0" distB="0" distL="0" distR="0" simplePos="0" locked="0" layoutInCell="0" allowOverlap="1" relativeHeight="13">
            <wp:simplePos x="0" y="0"/>
            <wp:positionH relativeFrom="column">
              <wp:posOffset>218440</wp:posOffset>
            </wp:positionH>
            <wp:positionV relativeFrom="paragraph">
              <wp:posOffset>62865</wp:posOffset>
            </wp:positionV>
            <wp:extent cx="6457950" cy="382905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43"/>
                    <a:stretch>
                      <a:fillRect/>
                    </a:stretch>
                  </pic:blipFill>
                  <pic:spPr bwMode="auto">
                    <a:xfrm>
                      <a:off x="0" y="0"/>
                      <a:ext cx="6457950" cy="3829050"/>
                    </a:xfrm>
                    <a:prstGeom prst="rect">
                      <a:avLst/>
                    </a:prstGeom>
                    <a:noFill/>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We used this model at Federal Highway from 1994 to 1996 to develop </w:t>
      </w:r>
      <w:hyperlink r:id="rId44">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bCs w:val="false"/>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SDTs and interoperate with other depositories.</w:t>
      </w:r>
    </w:p>
    <w:p>
      <w:pPr>
        <w:pStyle w:val="Normal"/>
        <w:rPr/>
      </w:pPr>
      <w:r>
        <w:rPr/>
      </w:r>
    </w:p>
    <w:p>
      <w:pPr>
        <w:pStyle w:val="Normal"/>
        <w:rPr/>
      </w:pPr>
      <w:r>
        <w:rPr>
          <w:rStyle w:val="Strong"/>
        </w:rPr>
        <w:t xml:space="preserve">4) Savings Institutions </w:t>
      </w:r>
      <w:r>
        <w:rPr/>
        <w:t>- provide funding to use SDTs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SDTs and arbitraging by  investors.</w:t>
      </w:r>
    </w:p>
    <w:p>
      <w:pPr>
        <w:pStyle w:val="Normal"/>
        <w:bidi w:val="0"/>
        <w:jc w:val="left"/>
        <w:rPr/>
      </w:pPr>
      <w:r>
        <w:rPr/>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836410" cy="21463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45"/>
                    <a:stretch>
                      <a:fillRect/>
                    </a:stretch>
                  </pic:blipFill>
                  <pic:spPr bwMode="auto">
                    <a:xfrm>
                      <a:off x="0" y="0"/>
                      <a:ext cx="6836410" cy="2146300"/>
                    </a:xfrm>
                    <a:prstGeom prst="rect">
                      <a:avLst/>
                    </a:prstGeom>
                    <a:noFill/>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894830" cy="1899285"/>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46"/>
                    <a:stretch>
                      <a:fillRect/>
                    </a:stretch>
                  </pic:blipFill>
                  <pic:spPr bwMode="auto">
                    <a:xfrm>
                      <a:off x="0" y="0"/>
                      <a:ext cx="6894830" cy="1899285"/>
                    </a:xfrm>
                    <a:prstGeom prst="rect">
                      <a:avLst/>
                    </a:prstGeom>
                    <a:noFill/>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determined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47">
        <w:r>
          <w:rPr>
            <w:rStyle w:val="Hyperlink"/>
          </w:rPr>
          <w:t xml:space="preserve">small working software model of SXS </w:t>
        </w:r>
      </w:hyperlink>
      <w:r>
        <w:rPr/>
        <w:t>(</w:t>
      </w:r>
      <w:hyperlink r:id="rId48">
        <w:r>
          <w:rPr>
            <w:rStyle w:val="Hyperlink"/>
          </w:rPr>
          <w:t>https://github.com/broward/BRICS</w:t>
        </w:r>
      </w:hyperlink>
      <w:r>
        <w:rPr/>
        <w:t>)</w:t>
      </w:r>
    </w:p>
    <w:p>
      <w:pPr>
        <w:pStyle w:val="Normal"/>
        <w:bidi w:val="0"/>
        <w:jc w:val="left"/>
        <w:rPr/>
      </w:pPr>
      <w:hyperlink r:id="rId49">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ind w:hanging="0" w:left="0" w:right="0"/>
        <w:jc w:val="left"/>
        <w:rPr/>
      </w:pPr>
      <w:r>
        <w:rPr/>
        <w:t>Thirty-five years of eclectic software development, including 7 startups, IT staff at a major university, several USDOT grants and 15 years of corporate consulting. </w:t>
      </w:r>
      <w:hyperlink r:id="rId50">
        <w:r>
          <w:rPr>
            <w:rStyle w:val="Hyperlink"/>
          </w:rPr>
          <w:t>Three DEFCON presentations</w:t>
        </w:r>
      </w:hyperlink>
      <w:r>
        <w:rPr/>
        <w:t> on predictive analytics.</w:t>
      </w:r>
    </w:p>
    <w:p>
      <w:pPr>
        <w:pStyle w:val="Heading4"/>
        <w:bidi w:val="0"/>
        <w:jc w:val="left"/>
        <w:rPr/>
      </w:pPr>
      <w:r>
        <w:rPr>
          <w:b/>
        </w:rPr>
        <w:t>State governments</w:t>
      </w:r>
    </w:p>
    <w:p>
      <w:pPr>
        <w:pStyle w:val="Normal"/>
        <w:bidi w:val="0"/>
        <w:ind w:hanging="0" w:left="0" w:right="0"/>
        <w:jc w:val="left"/>
        <w:rPr/>
      </w:pPr>
      <w:r>
        <w:rPr/>
        <w:t xml:space="preserve">From 1991-1996, I was the original architect of five Federal Highway Administration grants developing the </w:t>
      </w:r>
      <w:hyperlink r:id="rId51">
        <w:r>
          <w:rPr>
            <w:rStyle w:val="Hyperlink"/>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52">
        <w:r>
          <w:rPr>
            <w:rStyle w:val="Hyperlink"/>
          </w:rPr>
          <w:t>Boise State University employee of the year</w:t>
        </w:r>
      </w:hyperlink>
      <w:r>
        <w:rPr/>
        <w:t xml:space="preserve"> in 1994.</w:t>
      </w:r>
    </w:p>
    <w:p>
      <w:pPr>
        <w:pStyle w:val="Heading4"/>
        <w:bidi w:val="0"/>
        <w:jc w:val="left"/>
        <w:rPr/>
      </w:pPr>
      <w:r>
        <w:rPr>
          <w:b/>
        </w:rPr>
        <w:t>Startups</w:t>
      </w:r>
    </w:p>
    <w:p>
      <w:pPr>
        <w:pStyle w:val="BodyText"/>
        <w:numPr>
          <w:ilvl w:val="0"/>
          <w:numId w:val="3"/>
        </w:numPr>
        <w:tabs>
          <w:tab w:val="clear" w:pos="709"/>
          <w:tab w:val="left" w:pos="0" w:leader="none"/>
        </w:tabs>
        <w:spacing w:before="0" w:after="0"/>
        <w:ind w:hanging="283" w:left="375" w:right="0"/>
        <w:rPr/>
      </w:pPr>
      <w:hyperlink r:id="rId53">
        <w:r>
          <w:rPr>
            <w:rStyle w:val="Hyperlink"/>
          </w:rPr>
          <w:t>Federal Highway 1992-96</w:t>
        </w:r>
      </w:hyperlink>
      <w:r>
        <w:rPr/>
        <w:t xml:space="preserve"> </w:t>
      </w:r>
      <w:r>
        <w:rPr>
          <w:color w:val="000000"/>
        </w:rPr>
        <w:t>- R&amp;D on early mobile systems</w:t>
      </w:r>
    </w:p>
    <w:p>
      <w:pPr>
        <w:pStyle w:val="BodyText"/>
        <w:numPr>
          <w:ilvl w:val="0"/>
          <w:numId w:val="3"/>
        </w:numPr>
        <w:tabs>
          <w:tab w:val="clear" w:pos="709"/>
          <w:tab w:val="left" w:pos="0" w:leader="none"/>
        </w:tabs>
        <w:spacing w:before="0" w:after="0"/>
        <w:ind w:hanging="283" w:left="375" w:right="0"/>
        <w:rPr/>
      </w:pPr>
      <w:hyperlink r:id="rId54">
        <w:r>
          <w:rPr>
            <w:rStyle w:val="Hyperlink"/>
          </w:rPr>
          <w:t>Saleslogix 1998-2000</w:t>
        </w:r>
      </w:hyperlink>
      <w:r>
        <w:rPr/>
        <w:t xml:space="preserve"> </w:t>
      </w:r>
      <w:r>
        <w:rPr>
          <w:color w:val="000000"/>
        </w:rPr>
        <w:t>- CRM startup, SDK and Salesforce competitor</w:t>
      </w:r>
    </w:p>
    <w:p>
      <w:pPr>
        <w:pStyle w:val="BodyText"/>
        <w:numPr>
          <w:ilvl w:val="0"/>
          <w:numId w:val="3"/>
        </w:numPr>
        <w:tabs>
          <w:tab w:val="clear" w:pos="709"/>
          <w:tab w:val="left" w:pos="0" w:leader="none"/>
        </w:tabs>
        <w:spacing w:before="0" w:after="0"/>
        <w:ind w:hanging="283" w:left="375" w:right="0"/>
        <w:rPr/>
      </w:pPr>
      <w:hyperlink r:id="rId55">
        <w:r>
          <w:rPr>
            <w:rStyle w:val="Hyperlink"/>
          </w:rPr>
          <w:t>Sunhill Software 2004</w:t>
        </w:r>
      </w:hyperlink>
      <w:r>
        <w:rPr>
          <w:color w:val="000000"/>
        </w:rPr>
        <w:t xml:space="preserve"> - supply chain logistics and KPI</w:t>
      </w:r>
    </w:p>
    <w:p>
      <w:pPr>
        <w:pStyle w:val="BodyText"/>
        <w:numPr>
          <w:ilvl w:val="0"/>
          <w:numId w:val="3"/>
        </w:numPr>
        <w:tabs>
          <w:tab w:val="clear" w:pos="709"/>
          <w:tab w:val="left" w:pos="0" w:leader="none"/>
        </w:tabs>
        <w:spacing w:before="0" w:after="0"/>
        <w:ind w:hanging="283" w:left="375" w:right="0"/>
        <w:rPr/>
      </w:pPr>
      <w:hyperlink r:id="rId56">
        <w:r>
          <w:rPr>
            <w:rStyle w:val="Hyperlink"/>
          </w:rPr>
          <w:t>Gloo 2013</w:t>
        </w:r>
      </w:hyperlink>
      <w:r>
        <w:rPr/>
        <w:t xml:space="preserve"> </w:t>
      </w:r>
      <w:r>
        <w:rPr>
          <w:color w:val="000000"/>
        </w:rPr>
        <w:t>- health &amp; wellness analytics</w:t>
      </w:r>
    </w:p>
    <w:p>
      <w:pPr>
        <w:pStyle w:val="BodyText"/>
        <w:numPr>
          <w:ilvl w:val="0"/>
          <w:numId w:val="3"/>
        </w:numPr>
        <w:tabs>
          <w:tab w:val="clear" w:pos="709"/>
          <w:tab w:val="left" w:pos="0" w:leader="none"/>
        </w:tabs>
        <w:spacing w:before="0" w:after="0"/>
        <w:ind w:hanging="283" w:left="375" w:right="0"/>
        <w:rPr/>
      </w:pPr>
      <w:hyperlink r:id="rId57">
        <w:r>
          <w:rPr>
            <w:rStyle w:val="Hyperlink"/>
          </w:rPr>
          <w:t>DLVR 2016-17</w:t>
        </w:r>
      </w:hyperlink>
      <w:r>
        <w:rPr/>
        <w:t xml:space="preserve"> </w:t>
      </w:r>
      <w:r>
        <w:rPr>
          <w:color w:val="000000"/>
        </w:rPr>
        <w:t>- video analytics</w:t>
      </w:r>
    </w:p>
    <w:p>
      <w:pPr>
        <w:pStyle w:val="BodyText"/>
        <w:numPr>
          <w:ilvl w:val="0"/>
          <w:numId w:val="3"/>
        </w:numPr>
        <w:tabs>
          <w:tab w:val="clear" w:pos="709"/>
          <w:tab w:val="left" w:pos="0" w:leader="none"/>
        </w:tabs>
        <w:spacing w:before="0" w:after="0"/>
        <w:ind w:hanging="283" w:left="375" w:right="0"/>
        <w:rPr/>
      </w:pPr>
      <w:hyperlink r:id="rId58">
        <w:r>
          <w:rPr>
            <w:rStyle w:val="Hyperlink"/>
          </w:rPr>
          <w:t>Sila 2018</w:t>
        </w:r>
      </w:hyperlink>
      <w:r>
        <w:rPr>
          <w:color w:val="000000"/>
        </w:rPr>
        <w:t xml:space="preserve"> - stablecoin SDK and toolkit</w:t>
      </w:r>
    </w:p>
    <w:p>
      <w:pPr>
        <w:pStyle w:val="BodyText"/>
        <w:numPr>
          <w:ilvl w:val="0"/>
          <w:numId w:val="3"/>
        </w:numPr>
        <w:tabs>
          <w:tab w:val="clear" w:pos="709"/>
          <w:tab w:val="left" w:pos="0" w:leader="none"/>
        </w:tabs>
        <w:ind w:hanging="283" w:left="375" w:right="0"/>
        <w:rPr/>
      </w:pPr>
      <w:hyperlink r:id="rId59">
        <w:r>
          <w:rPr>
            <w:rStyle w:val="Hyperlink"/>
          </w:rPr>
          <w:t>Ensomata 2022</w:t>
        </w:r>
      </w:hyperlink>
      <w:r>
        <w:rPr/>
        <w:t xml:space="preserve"> </w:t>
      </w:r>
      <w:r>
        <w:rPr>
          <w:color w:val="000000"/>
        </w:rPr>
        <w:t>- health care analytics</w:t>
      </w:r>
    </w:p>
    <w:p>
      <w:pPr>
        <w:pStyle w:val="Heading4"/>
        <w:bidi w:val="0"/>
        <w:jc w:val="left"/>
        <w:rPr/>
      </w:pPr>
      <w:r>
        <w:rPr>
          <w:b/>
        </w:rPr>
        <w:t>Digital Currencies</w:t>
      </w:r>
    </w:p>
    <w:p>
      <w:pPr>
        <w:pStyle w:val="Normal"/>
        <w:bidi w:val="0"/>
        <w:ind w:hanging="0" w:left="0" w:right="0"/>
        <w:jc w:val="left"/>
        <w:rPr/>
      </w:pPr>
      <w:r>
        <w:rPr/>
        <w:t xml:space="preserve">Hands-on work with three digital currencies – the </w:t>
      </w:r>
      <w:hyperlink r:id="rId60">
        <w:r>
          <w:rPr>
            <w:rStyle w:val="Hyperlink"/>
          </w:rPr>
          <w:t>Digital Money Trust in 1994</w:t>
        </w:r>
      </w:hyperlink>
      <w:r>
        <w:rPr/>
        <w:t xml:space="preserve"> (a precursor to Bitcoin), an </w:t>
      </w:r>
      <w:hyperlink r:id="rId61">
        <w:r>
          <w:rPr>
            <w:rStyle w:val="Hyperlink"/>
          </w:rPr>
          <w:t>IoT token prototype in 2014</w:t>
        </w:r>
      </w:hyperlink>
      <w:r>
        <w:rPr/>
        <w:t xml:space="preserve"> and </w:t>
      </w:r>
      <w:hyperlink r:id="rId62">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ind w:hanging="0" w:left="0" w:right="0"/>
        <w:jc w:val="left"/>
        <w:rPr/>
      </w:pPr>
      <w:r>
        <w:rPr/>
        <w:t xml:space="preserve">Significant projects at </w:t>
      </w:r>
      <w:hyperlink r:id="rId63">
        <w:r>
          <w:rPr>
            <w:rStyle w:val="Hyperlink"/>
          </w:rPr>
          <w:t>Boeing</w:t>
        </w:r>
      </w:hyperlink>
      <w:r>
        <w:rPr/>
        <w:t xml:space="preserve"> (call center), </w:t>
      </w:r>
      <w:hyperlink r:id="rId64">
        <w:r>
          <w:rPr>
            <w:rStyle w:val="Hyperlink"/>
          </w:rPr>
          <w:t>Avnet</w:t>
        </w:r>
      </w:hyperlink>
      <w:r>
        <w:rPr/>
        <w:t xml:space="preserve"> (e-commerce), </w:t>
      </w:r>
      <w:hyperlink r:id="rId65">
        <w:r>
          <w:rPr>
            <w:rStyle w:val="Hyperlink"/>
          </w:rPr>
          <w:t>Aetna</w:t>
        </w:r>
      </w:hyperlink>
      <w:r>
        <w:rPr/>
        <w:t xml:space="preserve"> (case management), </w:t>
      </w:r>
      <w:hyperlink r:id="rId66">
        <w:r>
          <w:rPr>
            <w:rStyle w:val="Hyperlink"/>
          </w:rPr>
          <w:t>Amdocs</w:t>
        </w:r>
      </w:hyperlink>
      <w:r>
        <w:rPr/>
        <w:t xml:space="preserve"> (payment system), </w:t>
      </w:r>
      <w:hyperlink r:id="rId67">
        <w:r>
          <w:rPr>
            <w:rStyle w:val="Hyperlink"/>
          </w:rPr>
          <w:t>DLVR.com</w:t>
        </w:r>
      </w:hyperlink>
      <w:r>
        <w:rPr/>
        <w:t xml:space="preserve"> (video analytics), Verizon (ring tone sales), </w:t>
      </w:r>
      <w:hyperlink r:id="rId68">
        <w:r>
          <w:rPr>
            <w:rStyle w:val="Hyperlink"/>
          </w:rPr>
          <w:t>Staples</w:t>
        </w:r>
      </w:hyperlink>
      <w:r>
        <w:rPr/>
        <w:t xml:space="preserve"> (e-commerce). </w:t>
      </w:r>
    </w:p>
    <w:p>
      <w:pPr>
        <w:pStyle w:val="Heading4"/>
        <w:bidi w:val="0"/>
        <w:jc w:val="left"/>
        <w:rPr/>
      </w:pPr>
      <w:r>
        <w:rPr>
          <w:b/>
        </w:rPr>
        <w:t>DEFCON</w:t>
      </w:r>
    </w:p>
    <w:p>
      <w:pPr>
        <w:pStyle w:val="Normal"/>
        <w:bidi w:val="0"/>
        <w:jc w:val="left"/>
        <w:rPr/>
      </w:pPr>
      <w:hyperlink r:id="rId69">
        <w:r>
          <w:rPr>
            <w:rStyle w:val="Hyperlink"/>
          </w:rPr>
          <w:t xml:space="preserve">Three DEFCON convention presentations in 2005-2007 </w:t>
        </w:r>
      </w:hyperlink>
      <w:r>
        <w:rPr/>
        <w:t>on predictive analytics and memetic manipulations.</w:t>
      </w:r>
    </w:p>
    <w:p>
      <w:pPr>
        <w:pStyle w:val="Heading3"/>
        <w:bidi w:val="0"/>
        <w:jc w:val="left"/>
        <w:rPr/>
      </w:pPr>
      <w:r>
        <w:rPr>
          <w:b/>
        </w:rPr>
        <w:t>Related Materal By Me</w:t>
      </w:r>
    </w:p>
    <w:p>
      <w:pPr>
        <w:pStyle w:val="ListParagraph"/>
        <w:numPr>
          <w:ilvl w:val="0"/>
          <w:numId w:val="0"/>
        </w:numPr>
        <w:ind w:hanging="0" w:left="420"/>
        <w:jc w:val="left"/>
        <w:rPr/>
      </w:pPr>
      <w:hyperlink r:id="rId70">
        <w:r>
          <w:rPr>
            <w:rStyle w:val="Hyperlink"/>
          </w:rPr>
          <w:t>Cost Of Information 2024</w:t>
        </w:r>
      </w:hyperlink>
      <w:r>
        <w:rPr/>
        <w:t xml:space="preserve"> </w:t>
      </w:r>
    </w:p>
    <w:p>
      <w:pPr>
        <w:pStyle w:val="ListParagraph"/>
        <w:numPr>
          <w:ilvl w:val="0"/>
          <w:numId w:val="0"/>
        </w:numPr>
        <w:ind w:hanging="0" w:left="420"/>
        <w:jc w:val="left"/>
        <w:rPr/>
      </w:pPr>
      <w:hyperlink r:id="rId71">
        <w:r>
          <w:rPr>
            <w:rStyle w:val="Hyperlink"/>
          </w:rPr>
          <w:t>BRICS Currency System 2023</w:t>
        </w:r>
      </w:hyperlink>
      <w:r>
        <w:rPr/>
        <w:t xml:space="preserve"> </w:t>
      </w:r>
    </w:p>
    <w:p>
      <w:pPr>
        <w:pStyle w:val="ListParagraph"/>
        <w:numPr>
          <w:ilvl w:val="0"/>
          <w:numId w:val="0"/>
        </w:numPr>
        <w:ind w:hanging="0" w:left="420"/>
        <w:jc w:val="left"/>
        <w:rPr/>
      </w:pPr>
      <w:hyperlink r:id="rId72">
        <w:r>
          <w:rPr>
            <w:rStyle w:val="Hyperlink"/>
          </w:rPr>
          <w:t>AWS App Design, 2023</w:t>
        </w:r>
      </w:hyperlink>
      <w:r>
        <w:rPr/>
        <w:t xml:space="preserve"> </w:t>
      </w:r>
    </w:p>
    <w:p>
      <w:pPr>
        <w:pStyle w:val="ListParagraph"/>
        <w:numPr>
          <w:ilvl w:val="0"/>
          <w:numId w:val="0"/>
        </w:numPr>
        <w:ind w:hanging="0" w:left="420"/>
        <w:jc w:val="left"/>
        <w:rPr/>
      </w:pPr>
      <w:hyperlink r:id="rId73">
        <w:r>
          <w:rPr>
            <w:rStyle w:val="Hyperlink"/>
          </w:rPr>
          <w:t>Stablecoin Hack, 2022</w:t>
        </w:r>
      </w:hyperlink>
      <w:r>
        <w:rPr/>
        <w:t xml:space="preserve"> </w:t>
      </w:r>
    </w:p>
    <w:p>
      <w:pPr>
        <w:pStyle w:val="ListParagraph"/>
        <w:numPr>
          <w:ilvl w:val="0"/>
          <w:numId w:val="0"/>
        </w:numPr>
        <w:ind w:hanging="0" w:left="420"/>
        <w:jc w:val="left"/>
        <w:rPr/>
      </w:pPr>
      <w:hyperlink r:id="rId74">
        <w:r>
          <w:rPr>
            <w:rStyle w:val="Hyperlink"/>
          </w:rPr>
          <w:t>Miner Bankruptcy, 2022</w:t>
        </w:r>
      </w:hyperlink>
      <w:r>
        <w:rPr/>
        <w:t xml:space="preserve"> </w:t>
      </w:r>
    </w:p>
    <w:p>
      <w:pPr>
        <w:pStyle w:val="ListParagraph"/>
        <w:numPr>
          <w:ilvl w:val="0"/>
          <w:numId w:val="0"/>
        </w:numPr>
        <w:ind w:hanging="0" w:left="420"/>
        <w:jc w:val="left"/>
        <w:rPr/>
      </w:pPr>
      <w:hyperlink r:id="rId75">
        <w:r>
          <w:rPr>
            <w:rStyle w:val="Hyperlink"/>
          </w:rPr>
          <w:t>Polymorphic API, 2022</w:t>
        </w:r>
      </w:hyperlink>
      <w:r>
        <w:rPr/>
        <w:t xml:space="preserve"> </w:t>
      </w:r>
    </w:p>
    <w:p>
      <w:pPr>
        <w:pStyle w:val="ListParagraph"/>
        <w:numPr>
          <w:ilvl w:val="0"/>
          <w:numId w:val="0"/>
        </w:numPr>
        <w:ind w:hanging="0" w:left="420"/>
        <w:jc w:val="left"/>
        <w:rPr/>
      </w:pPr>
      <w:hyperlink r:id="rId76">
        <w:r>
          <w:rPr>
            <w:rStyle w:val="Hyperlink"/>
          </w:rPr>
          <w:t>Crypto Platform, 2020</w:t>
        </w:r>
      </w:hyperlink>
      <w:r>
        <w:rPr/>
        <w:t xml:space="preserve"> </w:t>
      </w:r>
    </w:p>
    <w:p>
      <w:pPr>
        <w:pStyle w:val="ListParagraph"/>
        <w:numPr>
          <w:ilvl w:val="0"/>
          <w:numId w:val="0"/>
        </w:numPr>
        <w:ind w:hanging="0" w:left="420"/>
        <w:jc w:val="left"/>
        <w:rPr/>
      </w:pPr>
      <w:hyperlink r:id="rId77">
        <w:r>
          <w:rPr>
            <w:rStyle w:val="Hyperlink"/>
          </w:rPr>
          <w:t>Payment System, 2015</w:t>
        </w:r>
      </w:hyperlink>
      <w:r>
        <w:rPr/>
        <w:t xml:space="preserve"> </w:t>
      </w:r>
    </w:p>
    <w:p>
      <w:pPr>
        <w:pStyle w:val="ListParagraph"/>
        <w:numPr>
          <w:ilvl w:val="0"/>
          <w:numId w:val="0"/>
        </w:numPr>
        <w:ind w:hanging="0" w:left="420"/>
        <w:jc w:val="left"/>
        <w:rPr/>
      </w:pPr>
      <w:hyperlink r:id="rId78">
        <w:r>
          <w:rPr>
            <w:rStyle w:val="Hyperlink"/>
          </w:rPr>
          <w:t>Bitcoin Scalability, 2015</w:t>
        </w:r>
      </w:hyperlink>
      <w:r>
        <w:rPr/>
        <w:t xml:space="preserve"> </w:t>
      </w:r>
    </w:p>
    <w:p>
      <w:pPr>
        <w:pStyle w:val="ListParagraph"/>
        <w:numPr>
          <w:ilvl w:val="0"/>
          <w:numId w:val="0"/>
        </w:numPr>
        <w:ind w:hanging="0" w:left="420"/>
        <w:jc w:val="left"/>
        <w:rPr/>
      </w:pPr>
      <w:hyperlink r:id="rId79">
        <w:r>
          <w:rPr>
            <w:rStyle w:val="Hyperlink"/>
          </w:rPr>
          <w:t xml:space="preserve">Digital Money Trust, 2015 </w:t>
        </w:r>
      </w:hyperlink>
    </w:p>
    <w:p>
      <w:pPr>
        <w:pStyle w:val="ListParagraph"/>
        <w:numPr>
          <w:ilvl w:val="0"/>
          <w:numId w:val="0"/>
        </w:numPr>
        <w:ind w:hanging="0" w:left="420"/>
        <w:jc w:val="left"/>
        <w:rPr/>
      </w:pPr>
      <w:hyperlink r:id="rId80">
        <w:r>
          <w:rPr>
            <w:rStyle w:val="Hyperlink"/>
          </w:rPr>
          <w:t>Jing Currency on IoT, 2014</w:t>
        </w:r>
      </w:hyperlink>
      <w:r>
        <w:rPr/>
        <w:t xml:space="preserve"> </w:t>
      </w:r>
    </w:p>
    <w:p>
      <w:pPr>
        <w:pStyle w:val="ListParagraph"/>
        <w:numPr>
          <w:ilvl w:val="0"/>
          <w:numId w:val="0"/>
        </w:numPr>
        <w:ind w:hanging="0" w:left="420"/>
        <w:jc w:val="left"/>
        <w:rPr/>
      </w:pPr>
      <w:hyperlink r:id="rId81">
        <w:r>
          <w:rPr>
            <w:rStyle w:val="Hyperlink"/>
          </w:rPr>
          <w:t>Aetna Migration, 2011</w:t>
        </w:r>
      </w:hyperlink>
      <w:r>
        <w:rPr/>
        <w:t xml:space="preserve"> </w:t>
      </w:r>
    </w:p>
    <w:p>
      <w:pPr>
        <w:pStyle w:val="ListParagraph"/>
        <w:numPr>
          <w:ilvl w:val="0"/>
          <w:numId w:val="0"/>
        </w:numPr>
        <w:ind w:hanging="0" w:left="420"/>
        <w:jc w:val="left"/>
        <w:rPr/>
      </w:pPr>
      <w:hyperlink r:id="rId82">
        <w:r>
          <w:rPr>
            <w:rStyle w:val="Hyperlink"/>
          </w:rPr>
          <w:t>Avnet E-commerce, 2000</w:t>
        </w:r>
      </w:hyperlink>
      <w:r>
        <w:rPr/>
        <w:t xml:space="preserve"> </w:t>
      </w:r>
    </w:p>
    <w:p>
      <w:pPr>
        <w:pStyle w:val="ListParagraph"/>
        <w:numPr>
          <w:ilvl w:val="0"/>
          <w:numId w:val="0"/>
        </w:numPr>
        <w:ind w:hanging="0" w:left="420"/>
        <w:jc w:val="left"/>
        <w:rPr/>
      </w:pPr>
      <w:hyperlink r:id="rId83">
        <w:r>
          <w:rPr>
            <w:rStyle w:val="Hyperlink"/>
          </w:rPr>
          <w:t>Multi-Tenant Systems, 1996-2018</w:t>
        </w:r>
      </w:hyperlink>
      <w:r>
        <w:rPr/>
        <w:t xml:space="preserve"> </w:t>
      </w:r>
    </w:p>
    <w:p>
      <w:pPr>
        <w:pStyle w:val="ListParagraph"/>
        <w:numPr>
          <w:ilvl w:val="0"/>
          <w:numId w:val="0"/>
        </w:numPr>
        <w:ind w:hanging="0" w:left="420"/>
        <w:jc w:val="left"/>
        <w:rPr/>
      </w:pPr>
      <w:hyperlink r:id="rId84">
        <w:r>
          <w:rPr>
            <w:rStyle w:val="Hyperlink"/>
          </w:rPr>
          <w:t>Federal Highway System, 1992-1996</w:t>
        </w:r>
      </w:hyperlink>
      <w:r>
        <w:rPr/>
        <w:t xml:space="preserve"> </w:t>
      </w:r>
    </w:p>
    <w:p>
      <w:pPr>
        <w:pStyle w:val="ListParagraph"/>
        <w:numPr>
          <w:ilvl w:val="0"/>
          <w:numId w:val="0"/>
        </w:numPr>
        <w:ind w:hanging="0" w:left="420"/>
        <w:jc w:val="left"/>
        <w:rPr/>
      </w:pPr>
      <w:hyperlink r:id="rId85">
        <w:r>
          <w:rPr>
            <w:rStyle w:val="Hyperlink"/>
          </w:rPr>
          <w:t>Hacking the Planet, 1988</w:t>
        </w:r>
      </w:hyperlink>
      <w:r>
        <w:rPr/>
        <w:t xml:space="preserve"> </w:t>
      </w:r>
    </w:p>
    <w:sectPr>
      <w:type w:val="continuous"/>
      <w:pgSz w:w="12240" w:h="15840"/>
      <w:pgMar w:left="691" w:right="691" w:gutter="0" w:header="0" w:top="461" w:footer="0" w:bottom="461"/>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Times new roman">
    <w:charset w:val="01"/>
    <w:family w:val="roman"/>
    <w:pitch w:val="variable"/>
  </w:font>
  <w:font w:name="times new roman">
    <w:charset w:val="01"/>
    <w:family w:val="roman"/>
    <w:pitch w:val="variable"/>
  </w:font>
  <w:font w:name="Monaco">
    <w:altName w:val="monospace"/>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375"/>
        </w:tabs>
        <w:ind w:left="375" w:hanging="283"/>
      </w:pPr>
      <w:rPr>
        <w:rFonts w:ascii="Symbol" w:hAnsi="Symbol" w:cs="Symbol" w:hint="default"/>
        <w:color w:val="000000"/>
      </w:rPr>
    </w:lvl>
    <w:lvl w:ilvl="1">
      <w:start w:val="1"/>
      <w:numFmt w:val="bullet"/>
      <w:lvlText w:val=""/>
      <w:lvlJc w:val="left"/>
      <w:pPr>
        <w:tabs>
          <w:tab w:val="num" w:pos="1418"/>
        </w:tabs>
        <w:ind w:left="1418" w:hanging="283"/>
      </w:pPr>
      <w:rPr>
        <w:rFonts w:ascii="Symbol" w:hAnsi="Symbol" w:cs="Symbol" w:hint="default"/>
        <w:color w:val="000000"/>
      </w:rPr>
    </w:lvl>
    <w:lvl w:ilvl="2">
      <w:start w:val="1"/>
      <w:numFmt w:val="bullet"/>
      <w:lvlText w:val=""/>
      <w:lvlJc w:val="left"/>
      <w:pPr>
        <w:tabs>
          <w:tab w:val="num" w:pos="2127"/>
        </w:tabs>
        <w:ind w:left="2127" w:hanging="283"/>
      </w:pPr>
      <w:rPr>
        <w:rFonts w:ascii="Symbol" w:hAnsi="Symbol" w:cs="Symbol" w:hint="default"/>
        <w:color w:val="000000"/>
      </w:rPr>
    </w:lvl>
    <w:lvl w:ilvl="3">
      <w:start w:val="1"/>
      <w:numFmt w:val="bullet"/>
      <w:lvlText w:val=""/>
      <w:lvlJc w:val="left"/>
      <w:pPr>
        <w:tabs>
          <w:tab w:val="num" w:pos="2836"/>
        </w:tabs>
        <w:ind w:left="2836" w:hanging="283"/>
      </w:pPr>
      <w:rPr>
        <w:rFonts w:ascii="Symbol" w:hAnsi="Symbol" w:cs="Symbol" w:hint="default"/>
        <w:color w:val="000000"/>
      </w:rPr>
    </w:lvl>
    <w:lvl w:ilvl="4">
      <w:start w:val="1"/>
      <w:numFmt w:val="bullet"/>
      <w:lvlText w:val=""/>
      <w:lvlJc w:val="left"/>
      <w:pPr>
        <w:tabs>
          <w:tab w:val="num" w:pos="3545"/>
        </w:tabs>
        <w:ind w:left="3545" w:hanging="283"/>
      </w:pPr>
      <w:rPr>
        <w:rFonts w:ascii="Symbol" w:hAnsi="Symbol" w:cs="Symbol" w:hint="default"/>
        <w:color w:val="000000"/>
      </w:rPr>
    </w:lvl>
    <w:lvl w:ilvl="5">
      <w:start w:val="1"/>
      <w:numFmt w:val="bullet"/>
      <w:lvlText w:val=""/>
      <w:lvlJc w:val="left"/>
      <w:pPr>
        <w:tabs>
          <w:tab w:val="num" w:pos="4254"/>
        </w:tabs>
        <w:ind w:left="4254" w:hanging="283"/>
      </w:pPr>
      <w:rPr>
        <w:rFonts w:ascii="Symbol" w:hAnsi="Symbol" w:cs="Symbol" w:hint="default"/>
        <w:color w:val="000000"/>
      </w:rPr>
    </w:lvl>
    <w:lvl w:ilvl="6">
      <w:start w:val="1"/>
      <w:numFmt w:val="bullet"/>
      <w:lvlText w:val=""/>
      <w:lvlJc w:val="left"/>
      <w:pPr>
        <w:tabs>
          <w:tab w:val="num" w:pos="4963"/>
        </w:tabs>
        <w:ind w:left="4963" w:hanging="283"/>
      </w:pPr>
      <w:rPr>
        <w:rFonts w:ascii="Symbol" w:hAnsi="Symbol" w:cs="Symbol" w:hint="default"/>
        <w:color w:val="000000"/>
      </w:rPr>
    </w:lvl>
    <w:lvl w:ilvl="7">
      <w:start w:val="1"/>
      <w:numFmt w:val="bullet"/>
      <w:lvlText w:val=""/>
      <w:lvlJc w:val="left"/>
      <w:pPr>
        <w:tabs>
          <w:tab w:val="num" w:pos="5672"/>
        </w:tabs>
        <w:ind w:left="5672" w:hanging="283"/>
      </w:pPr>
      <w:rPr>
        <w:rFonts w:ascii="Symbol" w:hAnsi="Symbol" w:cs="Symbol" w:hint="default"/>
        <w:color w:val="000000"/>
      </w:rPr>
    </w:lvl>
    <w:lvl w:ilvl="8">
      <w:start w:val="1"/>
      <w:numFmt w:val="bullet"/>
      <w:lvlText w:val=""/>
      <w:lvlJc w:val="left"/>
      <w:pPr>
        <w:tabs>
          <w:tab w:val="num" w:pos="6381"/>
        </w:tabs>
        <w:ind w:left="6381" w:hanging="283"/>
      </w:pPr>
      <w:rPr>
        <w:rFonts w:ascii="Symbol" w:hAnsi="Symbol" w:cs="Symbol" w:hint="default"/>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color w:val="000000"/>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token/" TargetMode="External"/><Relationship Id="rId4" Type="http://schemas.openxmlformats.org/officeDocument/2006/relationships/hyperlink" Target="https://broward.ghost.io/current-gold-paper" TargetMode="External"/><Relationship Id="rId5" Type="http://schemas.openxmlformats.org/officeDocument/2006/relationships/hyperlink" Target="https://legiscan.com/TX/bill/HB1056/2025" TargetMode="External"/><Relationship Id="rId6" Type="http://schemas.openxmlformats.org/officeDocument/2006/relationships/hyperlink" Target="https://legiscan.com/TX/bill/HB1049/2025" TargetMode="External"/><Relationship Id="rId7" Type="http://schemas.openxmlformats.org/officeDocument/2006/relationships/hyperlink" Target="https://broward.ghost.io/2023/04/25/go-dig-strategic-design/" TargetMode="External"/><Relationship Id="rId8" Type="http://schemas.openxmlformats.org/officeDocument/2006/relationships/hyperlink" Target="https://broward.ghost.io/2023/05/26/technical-working-group/" TargetMode="External"/><Relationship Id="rId9" Type="http://schemas.openxmlformats.org/officeDocument/2006/relationships/hyperlink" Target="https://broward.ghost.io/2023/09/01/brics-currency-platform/" TargetMode="External"/><Relationship Id="rId10" Type="http://schemas.openxmlformats.org/officeDocument/2006/relationships/hyperlink" Target="https://broward.ghost.io/2014/03/09/about/" TargetMode="External"/><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hyperlink" Target="https://fred.stlouisfed.org/series/A091RC1Q027SBEA" TargetMode="External"/><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jpeg"/><Relationship Id="rId20" Type="http://schemas.openxmlformats.org/officeDocument/2006/relationships/hyperlink" Target="https://www.soundmoneydefense.org/" TargetMode="External"/><Relationship Id="rId21" Type="http://schemas.openxmlformats.org/officeDocument/2006/relationships/image" Target="media/image10.jpeg"/><Relationship Id="rId22" Type="http://schemas.openxmlformats.org/officeDocument/2006/relationships/hyperlink" Target="https://comptroller.texas.gov/economy/fiscal-notes/2017/september/bullion-depository.php" TargetMode="External"/><Relationship Id="rId23" Type="http://schemas.openxmlformats.org/officeDocument/2006/relationships/hyperlink" Target="https://wapp.capitol.tn.gov/apps/BillInfo/default.aspx?BillNumber=SB0150&amp;amp;GA=113" TargetMode="External"/><Relationship Id="rId24" Type="http://schemas.openxmlformats.org/officeDocument/2006/relationships/hyperlink" Target="https://www.billtrack50.com/billdetail/1569891" TargetMode="External"/><Relationship Id="rId25" Type="http://schemas.openxmlformats.org/officeDocument/2006/relationships/hyperlink" Target="https://legiscan.com/MO/bill/HB718/2023" TargetMode="External"/><Relationship Id="rId26" Type="http://schemas.openxmlformats.org/officeDocument/2006/relationships/hyperlink" Target="https://www.ncleg.gov/BillLookUp/2023/H721" TargetMode="External"/><Relationship Id="rId27" Type="http://schemas.openxmlformats.org/officeDocument/2006/relationships/hyperlink" Target="https://legiscan.com/ID/rollcall/H0180/id/1267687" TargetMode="External"/><Relationship Id="rId28" Type="http://schemas.openxmlformats.org/officeDocument/2006/relationships/hyperlink" Target="https://legiscan.com/OK/bill/SB816/2023" TargetMode="External"/><Relationship Id="rId29" Type="http://schemas.openxmlformats.org/officeDocument/2006/relationships/hyperlink" Target="https://leg.mt.gov/bills/2023/billhtml/HB0884.htm" TargetMode="External"/><Relationship Id="rId30" Type="http://schemas.openxmlformats.org/officeDocument/2006/relationships/hyperlink" Target="https://www.flsenate.gov/Session/Bill/2024/697" TargetMode="External"/><Relationship Id="rId31" Type="http://schemas.openxmlformats.org/officeDocument/2006/relationships/hyperlink" Target="https://www.billtrack50.com/billdetail/1728658" TargetMode="External"/><Relationship Id="rId32" Type="http://schemas.openxmlformats.org/officeDocument/2006/relationships/hyperlink" Target="https://www.wvlegislature.gov/Bill_Status/bills_text.cfm?billdoc=sb749%20intr.htm&amp;yr=2024&amp;sesstype=RS&amp;i=749" TargetMode="External"/><Relationship Id="rId33" Type="http://schemas.openxmlformats.org/officeDocument/2006/relationships/hyperlink" Target="https://blog.tenthamendmentcenter.com/2024/02/arizona-senate-committee-passes-bill-to-establish-bullion-depository-and-transactional-gold-backed-currency/?ref=broward.ghost.io" TargetMode="External"/><Relationship Id="rId34" Type="http://schemas.openxmlformats.org/officeDocument/2006/relationships/hyperlink" Target="https://kslegislature.org/li/b2023_24/measures/documents/hb2729_00_0000.pdf" TargetMode="External"/><Relationship Id="rId35" Type="http://schemas.openxmlformats.org/officeDocument/2006/relationships/hyperlink" Target="https://www.legis.iowa.gov/docs/publications/LGI/90/HF2228.pdf" TargetMode="External"/><Relationship Id="rId36" Type="http://schemas.openxmlformats.org/officeDocument/2006/relationships/hyperlink" Target="https://fastdemocracy.com/bill-search/nh/2024/bills/NHB00011738/" TargetMode="External"/><Relationship Id="rId37" Type="http://schemas.openxmlformats.org/officeDocument/2006/relationships/hyperlink" Target="https://mises.org/power-market/utah-formally-empowers-state-treasurer-protect-state-funds-gold-and-silver" TargetMode="External"/><Relationship Id="rId38" Type="http://schemas.openxmlformats.org/officeDocument/2006/relationships/hyperlink" Target="https://wyoleg.gov/Legislation/2023/SF0127" TargetMode="External"/><Relationship Id="rId39" Type="http://schemas.openxmlformats.org/officeDocument/2006/relationships/hyperlink" Target="https://pub.njleg.gov/bills/2022/A0500/385_I1.HTM" TargetMode="External"/><Relationship Id="rId40" Type="http://schemas.openxmlformats.org/officeDocument/2006/relationships/hyperlink" Target="https://legiscan.com/RI/bill/H7817/2024" TargetMode="External"/><Relationship Id="rId41" Type="http://schemas.openxmlformats.org/officeDocument/2006/relationships/image" Target="media/image11.jpeg"/><Relationship Id="rId42" Type="http://schemas.openxmlformats.org/officeDocument/2006/relationships/hyperlink" Target="https://broward.ghost.io/golddigr/legal/" TargetMode="External"/><Relationship Id="rId43" Type="http://schemas.openxmlformats.org/officeDocument/2006/relationships/image" Target="media/image12.jpeg"/><Relationship Id="rId44" Type="http://schemas.openxmlformats.org/officeDocument/2006/relationships/hyperlink" Target="https://broward.ghost.io/2014/05/19/early-mobile-system/" TargetMode="External"/><Relationship Id="rId45" Type="http://schemas.openxmlformats.org/officeDocument/2006/relationships/image" Target="media/image13.jpeg"/><Relationship Id="rId46" Type="http://schemas.openxmlformats.org/officeDocument/2006/relationships/image" Target="media/image14.jpeg"/><Relationship Id="rId47" Type="http://schemas.openxmlformats.org/officeDocument/2006/relationships/hyperlink" Target="https://github.com/broward/BRICS" TargetMode="External"/><Relationship Id="rId48" Type="http://schemas.openxmlformats.org/officeDocument/2006/relationships/hyperlink" Target="https://github.com/broward/BRICS" TargetMode="External"/><Relationship Id="rId49" Type="http://schemas.openxmlformats.org/officeDocument/2006/relationships/hyperlink" Target="https://broward.ghost.io/2023/09/01/brics-currency-platform/" TargetMode="External"/><Relationship Id="rId50" Type="http://schemas.openxmlformats.org/officeDocument/2006/relationships/hyperlink" Target="https://broward.ghost.io/2014/01/09/defcon/" TargetMode="External"/><Relationship Id="rId51" Type="http://schemas.openxmlformats.org/officeDocument/2006/relationships/hyperlink" Target="https://www.ugpti.org/research/details.php?id=93&amp;ref=broward.ghost.io" TargetMode="External"/><Relationship Id="rId52" Type="http://schemas.openxmlformats.org/officeDocument/2006/relationships/hyperlink" Target="https://broward.ghost.io/content/images/2022/01/nampa_article-1.jpg" TargetMode="External"/><Relationship Id="rId53" Type="http://schemas.openxmlformats.org/officeDocument/2006/relationships/hyperlink" Target="https://broward.ghost.io/2014/05/19/early-mobile-system/" TargetMode="External"/><Relationship Id="rId54" Type="http://schemas.openxmlformats.org/officeDocument/2006/relationships/hyperlink" Target="https://broward.ghost.io/2021/03/01/saleslogix/" TargetMode="External"/><Relationship Id="rId55" Type="http://schemas.openxmlformats.org/officeDocument/2006/relationships/hyperlink" Target="https://broward.ghost.io/2023/11/14/sunhill-software/" TargetMode="External"/><Relationship Id="rId56" Type="http://schemas.openxmlformats.org/officeDocument/2006/relationships/hyperlink" Target="https://broward.ghost.io/2014/05/20/node-postgres-and-highcharts-app/" TargetMode="External"/><Relationship Id="rId57" Type="http://schemas.openxmlformats.org/officeDocument/2006/relationships/hyperlink" Target="https://dlvr.com/how-it-works/video-multi-cdn-optimization/?ref=broward.ghost.io" TargetMode="External"/><Relationship Id="rId58" Type="http://schemas.openxmlformats.org/officeDocument/2006/relationships/hyperlink" Target="https://broward.ghost.io/2020/08/14/revision-2/" TargetMode="External"/><Relationship Id="rId59" Type="http://schemas.openxmlformats.org/officeDocument/2006/relationships/hyperlink" Target="https://broward.ghost.io/2023/04/02/sonoma/" TargetMode="External"/><Relationship Id="rId60" Type="http://schemas.openxmlformats.org/officeDocument/2006/relationships/hyperlink" Target="https://broward.ghost.io/2015/09/26/bitcoin-blockchains-and-banking-busts/" TargetMode="External"/><Relationship Id="rId61" Type="http://schemas.openxmlformats.org/officeDocument/2006/relationships/hyperlink" Target="https://broward.ghost.io/2021/03/01/digital-currency-on-iot/" TargetMode="External"/><Relationship Id="rId62" Type="http://schemas.openxmlformats.org/officeDocument/2006/relationships/hyperlink" Target="https://docs.silamoney.com/docs?ref=broward.ghost.io" TargetMode="External"/><Relationship Id="rId63" Type="http://schemas.openxmlformats.org/officeDocument/2006/relationships/hyperlink" Target="https://broward.ghost.io/2022/11/18/boeing-revisited/" TargetMode="External"/><Relationship Id="rId64" Type="http://schemas.openxmlformats.org/officeDocument/2006/relationships/hyperlink" Target="https://broward.ghost.io/2021/02/28/e-commerce-systems/" TargetMode="External"/><Relationship Id="rId65" Type="http://schemas.openxmlformats.org/officeDocument/2006/relationships/hyperlink" Target="https://broward.ghost.io/aetna)" TargetMode="External"/><Relationship Id="rId66" Type="http://schemas.openxmlformats.org/officeDocument/2006/relationships/hyperlink" Target="https://broward.ghost.io/2015/05/17/simple-kafka-monitor-using-opendmk-jmx-2-0/" TargetMode="External"/><Relationship Id="rId67" Type="http://schemas.openxmlformats.org/officeDocument/2006/relationships/hyperlink" Target="https://raw.githubusercontent.com/broward/images/master/Architecture/CrossSignFlow.jpg?ref=broward.ghost.io" TargetMode="External"/><Relationship Id="rId68" Type="http://schemas.openxmlformats.org/officeDocument/2006/relationships/hyperlink" Target="https://broward.ghost.io/2023/01/13/skittles-autopsy/" TargetMode="External"/><Relationship Id="rId69" Type="http://schemas.openxmlformats.org/officeDocument/2006/relationships/hyperlink" Target="https://broward.ghost.io/2014/01/09/defcon/" TargetMode="External"/><Relationship Id="rId70" Type="http://schemas.openxmlformats.org/officeDocument/2006/relationships/hyperlink" Target="https://broward.ghost.io/2024/05/19/cost-of-information/" TargetMode="External"/><Relationship Id="rId71" Type="http://schemas.openxmlformats.org/officeDocument/2006/relationships/hyperlink" Target="https://broward.ghost.io/BRICS" TargetMode="External"/><Relationship Id="rId72" Type="http://schemas.openxmlformats.org/officeDocument/2006/relationships/hyperlink" Target="https://broward.ghost.io/aws_app_1" TargetMode="External"/><Relationship Id="rId73" Type="http://schemas.openxmlformats.org/officeDocument/2006/relationships/hyperlink" Target="https://broward.ghost.io/stablecoin_hack" TargetMode="External"/><Relationship Id="rId74" Type="http://schemas.openxmlformats.org/officeDocument/2006/relationships/hyperlink" Target="https://broward.ghost.io/miner_bankruptcy" TargetMode="External"/><Relationship Id="rId75" Type="http://schemas.openxmlformats.org/officeDocument/2006/relationships/hyperlink" Target="https://broward.ghost.io/polymorphic_api/" TargetMode="External"/><Relationship Id="rId76" Type="http://schemas.openxmlformats.org/officeDocument/2006/relationships/hyperlink" Target="https://broward.ghost.io/crypto_platform" TargetMode="External"/><Relationship Id="rId77" Type="http://schemas.openxmlformats.org/officeDocument/2006/relationships/hyperlink" Target="https://broward.ghost.io/payment_system" TargetMode="External"/><Relationship Id="rId78" Type="http://schemas.openxmlformats.org/officeDocument/2006/relationships/hyperlink" Target="https://broward.ghost.io/bitcoin_scalability" TargetMode="External"/><Relationship Id="rId79" Type="http://schemas.openxmlformats.org/officeDocument/2006/relationships/hyperlink" Target="https://broward.ghost.io/digital_money_trust" TargetMode="External"/><Relationship Id="rId80" Type="http://schemas.openxmlformats.org/officeDocument/2006/relationships/hyperlink" Target="https://broward.ghost.io/digital_on_IoT" TargetMode="External"/><Relationship Id="rId81" Type="http://schemas.openxmlformats.org/officeDocument/2006/relationships/hyperlink" Target="https://broward.ghost.io/aetna" TargetMode="External"/><Relationship Id="rId82" Type="http://schemas.openxmlformats.org/officeDocument/2006/relationships/hyperlink" Target="https://broward.ghost.io/avnet" TargetMode="External"/><Relationship Id="rId83" Type="http://schemas.openxmlformats.org/officeDocument/2006/relationships/hyperlink" Target="https://broward.ghost.io/multi-tenant" TargetMode="External"/><Relationship Id="rId84" Type="http://schemas.openxmlformats.org/officeDocument/2006/relationships/hyperlink" Target="https://broward.ghost.io/FHWA/" TargetMode="External"/><Relationship Id="rId85" Type="http://schemas.openxmlformats.org/officeDocument/2006/relationships/hyperlink" Target="https://broward.ghost.io/hack_the_planet" TargetMode="External"/><Relationship Id="rId86" Type="http://schemas.openxmlformats.org/officeDocument/2006/relationships/numbering" Target="numbering.xml"/><Relationship Id="rId87" Type="http://schemas.openxmlformats.org/officeDocument/2006/relationships/fontTable" Target="fontTable.xml"/><Relationship Id="rId88" Type="http://schemas.openxmlformats.org/officeDocument/2006/relationships/settings" Target="settings.xml"/><Relationship Id="rId8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3603</TotalTime>
  <Application>LibreOffice/24.8.3.2$Linux_X86_64 LibreOffice_project/e14c9fdd1f585efcbb2c5363087a99d20928d522</Application>
  <AppVersion>15.0000</AppVersion>
  <Pages>9</Pages>
  <Words>1705</Words>
  <Characters>9547</Characters>
  <CharactersWithSpaces>11248</CharactersWithSpaces>
  <Paragraphs>131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2024-12-06T15:28:17Z</cp:lastPrinted>
  <dcterms:modified xsi:type="dcterms:W3CDTF">2024-12-06T15:38:56Z</dcterms:modified>
  <cp:revision>367</cp:revision>
  <dc:subject/>
  <dc:title/>
</cp:coreProperties>
</file>

<file path=docProps/custom.xml><?xml version="1.0" encoding="utf-8"?>
<Properties xmlns="http://schemas.openxmlformats.org/officeDocument/2006/custom-properties" xmlns:vt="http://schemas.openxmlformats.org/officeDocument/2006/docPropsVTypes"/>
</file>