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jpeg" ContentType="image/jpeg"/>
  <Override PartName="/word/media/image14.jpeg" ContentType="image/jpeg"/>
  <Override PartName="/word/media/image1.png" ContentType="image/png"/>
  <Override PartName="/word/media/image2.jpeg" ContentType="image/jpeg"/>
  <Override PartName="/word/media/image4.jpeg" ContentType="image/jpeg"/>
  <Override PartName="/word/media/image5.jpeg" ContentType="image/jpeg"/>
  <Override PartName="/word/media/image3.jpeg" ContentType="image/jpeg"/>
  <Override PartName="/word/media/image6.png" ContentType="image/png"/>
  <Override PartName="/word/media/image10.jpeg" ContentType="image/jpeg"/>
  <Override PartName="/word/media/image7.jpeg" ContentType="image/jpeg"/>
  <Override PartName="/word/media/image9.jpeg" ContentType="image/jpeg"/>
  <Override PartName="/word/media/image12.jpeg" ContentType="image/jpeg"/>
  <Override PartName="/word/media/image8.png" ContentType="image/png"/>
  <Override PartName="/word/media/image11.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lineRule="auto" w:line="14" w:before="0" w:after="115"/>
        <w:jc w:val="left"/>
        <w:rPr/>
      </w:pPr>
      <w:r>
        <w:rPr>
          <w:rStyle w:val="Hyperlink"/>
          <w:b w:val="false"/>
          <w:bCs w:val="false"/>
          <w:color w:themeColor="hyperlink" w:val="000000"/>
          <w:sz w:val="24"/>
          <w:szCs w:val="24"/>
          <w:u w:val="none"/>
        </w:rPr>
        <w:t>CC:</w:t>
      </w:r>
    </w:p>
    <w:p>
      <w:pPr>
        <w:pStyle w:val="Heading3"/>
        <w:bidi w:val="0"/>
        <w:spacing w:lineRule="auto" w:line="14" w:before="0" w:after="115"/>
        <w:jc w:val="left"/>
        <w:rPr>
          <w:rStyle w:val="Hyperlink"/>
          <w:b w:val="false"/>
          <w:bCs w:val="false"/>
          <w:color w:themeColor="hyperlink" w:val="000000"/>
          <w:sz w:val="24"/>
          <w:szCs w:val="24"/>
          <w:u w:val="none"/>
        </w:rPr>
      </w:pPr>
      <w:r>
        <w:rPr/>
      </w:r>
    </w:p>
    <w:p>
      <w:pPr>
        <w:pStyle w:val="Heading3"/>
        <w:bidi w:val="0"/>
        <w:spacing w:lineRule="auto" w:line="14" w:before="0" w:after="115"/>
        <w:jc w:val="left"/>
        <w:rPr/>
      </w:pPr>
      <w:r>
        <w:rPr>
          <w:rStyle w:val="Hyperlink"/>
          <w:b w:val="false"/>
          <w:bCs w:val="false"/>
          <w:color w:themeColor="hyperlink" w:val="000000"/>
          <w:sz w:val="24"/>
          <w:szCs w:val="24"/>
          <w:u w:val="none"/>
        </w:rPr>
        <w:t>Alabama</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Sen. Tommy Tubervill</w:t>
      </w:r>
      <w:r>
        <w:rPr>
          <w:rStyle w:val="Hyperlink"/>
          <w:b w:val="false"/>
          <w:bCs w:val="false"/>
          <w:color w:themeColor="hyperlink" w:val="000000"/>
          <w:sz w:val="24"/>
          <w:szCs w:val="24"/>
          <w:u w:val="none"/>
        </w:rPr>
        <w:t>e</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Sen Tim Melson</w:t>
      </w:r>
    </w:p>
    <w:p>
      <w:pPr>
        <w:pStyle w:val="Heading3"/>
        <w:bidi w:val="0"/>
        <w:spacing w:lineRule="auto" w:line="14" w:before="0" w:after="115"/>
        <w:jc w:val="left"/>
        <w:rPr>
          <w:rStyle w:val="Hyperlink"/>
          <w:b w:val="false"/>
          <w:bCs w:val="false"/>
          <w:color w:themeColor="hyperlink" w:val="000000"/>
          <w:sz w:val="24"/>
          <w:szCs w:val="24"/>
          <w:u w:val="none"/>
        </w:rPr>
      </w:pPr>
      <w:r>
        <w:rPr/>
      </w:r>
    </w:p>
    <w:p>
      <w:pPr>
        <w:pStyle w:val="Heading3"/>
        <w:bidi w:val="0"/>
        <w:spacing w:lineRule="auto" w:line="14" w:before="0" w:after="115"/>
        <w:jc w:val="left"/>
        <w:rPr/>
      </w:pPr>
      <w:r>
        <w:rPr>
          <w:rStyle w:val="Hyperlink"/>
          <w:b w:val="false"/>
          <w:bCs w:val="false"/>
          <w:color w:themeColor="hyperlink" w:val="000000"/>
          <w:sz w:val="24"/>
          <w:szCs w:val="24"/>
          <w:u w:val="none"/>
        </w:rPr>
        <w:t>Nebraska</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rFonts w:ascii="source sans pro;sans-serif" w:hAnsi="source sans pro;sans-serif"/>
          <w:b w:val="false"/>
          <w:bCs w:val="false"/>
          <w:i w:val="false"/>
          <w:caps w:val="false"/>
          <w:smallCaps w:val="false"/>
          <w:color w:val="333333"/>
          <w:spacing w:val="0"/>
          <w:sz w:val="24"/>
          <w:szCs w:val="24"/>
          <w:u w:val="none"/>
        </w:rPr>
        <w:t>Sen. Ben Hansen</w:t>
      </w:r>
    </w:p>
    <w:p>
      <w:pPr>
        <w:pStyle w:val="Heading3"/>
        <w:bidi w:val="0"/>
        <w:spacing w:lineRule="auto" w:line="14" w:before="0" w:after="115"/>
        <w:jc w:val="left"/>
        <w:rPr>
          <w:rStyle w:val="Hyperlink"/>
          <w:b w:val="false"/>
          <w:bCs w:val="false"/>
          <w:color w:themeColor="hyperlink" w:val="000000"/>
          <w:sz w:val="24"/>
          <w:szCs w:val="24"/>
          <w:u w:val="none"/>
        </w:rPr>
      </w:pPr>
      <w:r>
        <w:rPr/>
      </w:r>
    </w:p>
    <w:p>
      <w:pPr>
        <w:pStyle w:val="Heading3"/>
        <w:bidi w:val="0"/>
        <w:spacing w:lineRule="auto" w:line="14" w:before="0" w:after="115"/>
        <w:jc w:val="left"/>
        <w:rPr/>
      </w:pPr>
      <w:r>
        <w:rPr>
          <w:rStyle w:val="Hyperlink"/>
          <w:b w:val="false"/>
          <w:bCs w:val="false"/>
          <w:color w:themeColor="hyperlink" w:val="000000"/>
          <w:sz w:val="24"/>
          <w:szCs w:val="24"/>
          <w:u w:val="none"/>
        </w:rPr>
        <w:t>Ohio</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Sen. Warren Davidso</w:t>
      </w:r>
      <w:r>
        <w:rPr>
          <w:rStyle w:val="Hyperlink"/>
          <w:b w:val="false"/>
          <w:bCs w:val="false"/>
          <w:color w:themeColor="hyperlink" w:val="000000"/>
          <w:sz w:val="24"/>
          <w:szCs w:val="24"/>
          <w:u w:val="none"/>
        </w:rPr>
        <w:t>n</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Rep. Jim Jordan</w:t>
      </w:r>
    </w:p>
    <w:p>
      <w:pPr>
        <w:pStyle w:val="Heading3"/>
        <w:bidi w:val="0"/>
        <w:spacing w:lineRule="auto" w:line="14" w:before="0" w:after="115"/>
        <w:jc w:val="left"/>
        <w:rPr>
          <w:rStyle w:val="Hyperlink"/>
          <w:b w:val="false"/>
          <w:bCs w:val="false"/>
          <w:color w:themeColor="hyperlink" w:val="000000"/>
          <w:sz w:val="24"/>
          <w:szCs w:val="24"/>
          <w:u w:val="none"/>
        </w:rPr>
      </w:pPr>
      <w:r>
        <w:rPr/>
      </w:r>
    </w:p>
    <w:p>
      <w:pPr>
        <w:pStyle w:val="Heading3"/>
        <w:bidi w:val="0"/>
        <w:spacing w:lineRule="auto" w:line="14" w:before="0" w:after="115"/>
        <w:jc w:val="left"/>
        <w:rPr/>
      </w:pPr>
      <w:r>
        <w:rPr>
          <w:rStyle w:val="Hyperlink"/>
          <w:b w:val="false"/>
          <w:bCs w:val="false"/>
          <w:color w:themeColor="hyperlink" w:val="000000"/>
          <w:sz w:val="24"/>
          <w:szCs w:val="24"/>
          <w:u w:val="none"/>
        </w:rPr>
        <w:t>Louisiana SB485</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Rep. Valarie Hodges</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p>
    <w:p>
      <w:pPr>
        <w:pStyle w:val="Heading3"/>
        <w:bidi w:val="0"/>
        <w:spacing w:lineRule="auto" w:line="14" w:before="0" w:after="115"/>
        <w:jc w:val="left"/>
        <w:rPr/>
      </w:pPr>
      <w:r>
        <w:rPr>
          <w:rStyle w:val="Hyperlink"/>
          <w:b w:val="false"/>
          <w:bCs w:val="false"/>
          <w:color w:themeColor="hyperlink" w:val="000000"/>
          <w:sz w:val="24"/>
          <w:szCs w:val="24"/>
          <w:u w:val="none"/>
        </w:rPr>
        <w:t>Georgia</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Rep. Marjorie Taylor Greene</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p>
    <w:p>
      <w:pPr>
        <w:pStyle w:val="Heading3"/>
        <w:bidi w:val="0"/>
        <w:spacing w:lineRule="auto" w:line="14" w:before="0" w:after="115"/>
        <w:jc w:val="left"/>
        <w:rPr/>
      </w:pPr>
      <w:r>
        <w:rPr>
          <w:rStyle w:val="Hyperlink"/>
          <w:b w:val="false"/>
          <w:bCs w:val="false"/>
          <w:color w:themeColor="hyperlink" w:val="000000"/>
          <w:sz w:val="24"/>
          <w:szCs w:val="24"/>
          <w:u w:val="none"/>
        </w:rPr>
        <w:t>Missouri</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Sen. Josh Hawley</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p>
    <w:p>
      <w:pPr>
        <w:pStyle w:val="Heading3"/>
        <w:bidi w:val="0"/>
        <w:spacing w:lineRule="auto" w:line="14" w:before="0" w:after="115"/>
        <w:jc w:val="left"/>
        <w:rPr/>
      </w:pPr>
      <w:r>
        <w:rPr>
          <w:rStyle w:val="Hyperlink"/>
          <w:b w:val="false"/>
          <w:bCs w:val="false"/>
          <w:color w:themeColor="hyperlink" w:val="000000"/>
          <w:sz w:val="24"/>
          <w:szCs w:val="24"/>
          <w:u w:val="none"/>
        </w:rPr>
        <w:t>Florida</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Rep. Corey Simon</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Rep. Byron Donalds</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Rep. Matt Gaetz</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Rep. Anna Paulina Luna</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p>
    <w:p>
      <w:pPr>
        <w:pStyle w:val="Heading3"/>
        <w:bidi w:val="0"/>
        <w:spacing w:lineRule="auto" w:line="14" w:before="0" w:after="115"/>
        <w:jc w:val="left"/>
        <w:rPr/>
      </w:pPr>
      <w:r>
        <w:rPr>
          <w:rStyle w:val="Hyperlink"/>
          <w:b w:val="false"/>
          <w:bCs w:val="false"/>
          <w:color w:themeColor="hyperlink" w:val="000000"/>
          <w:sz w:val="24"/>
          <w:szCs w:val="24"/>
          <w:u w:val="none"/>
        </w:rPr>
        <w:t>Utah</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Lt. Governor Deidre Henderson</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Rep. Ken Ivory</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Sen. Cullimore, Kirk A.</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Sen. Mike Lee</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p>
    <w:p>
      <w:pPr>
        <w:pStyle w:val="Heading3"/>
        <w:bidi w:val="0"/>
        <w:spacing w:lineRule="auto" w:line="14" w:before="0" w:after="115"/>
        <w:jc w:val="left"/>
        <w:rPr/>
      </w:pPr>
      <w:r>
        <w:rPr>
          <w:rStyle w:val="Hyperlink"/>
          <w:b w:val="false"/>
          <w:bCs w:val="false"/>
          <w:color w:themeColor="hyperlink" w:val="000000"/>
          <w:sz w:val="24"/>
          <w:szCs w:val="24"/>
          <w:u w:val="none"/>
        </w:rPr>
        <w:t>North Carolina HB721</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Rep. Mark Brody</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Rep. Harry Warren</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Rep. Donnie Loftis</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Rep. Neal Jackson</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p>
    <w:p>
      <w:pPr>
        <w:pStyle w:val="Heading3"/>
        <w:bidi w:val="0"/>
        <w:spacing w:lineRule="auto" w:line="14" w:before="0" w:after="115"/>
        <w:jc w:val="left"/>
        <w:rPr/>
      </w:pPr>
      <w:r>
        <w:rPr>
          <w:rStyle w:val="Hyperlink"/>
          <w:b w:val="false"/>
          <w:bCs w:val="false"/>
          <w:color w:themeColor="hyperlink" w:val="000000"/>
          <w:sz w:val="24"/>
          <w:szCs w:val="24"/>
          <w:u w:val="none"/>
        </w:rPr>
        <w:t>South Carolina</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Rep. Nancy Mace</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New Jersey AB385 </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Asm.</w:t>
      </w:r>
      <w:r>
        <w:rPr>
          <w:rStyle w:val="Hyperlink"/>
          <w:b w:val="false"/>
          <w:bCs w:val="false"/>
          <w:color w:themeColor="hyperlink" w:val="000000"/>
          <w:sz w:val="24"/>
          <w:szCs w:val="24"/>
          <w:u w:val="none"/>
        </w:rPr>
        <w:t xml:space="preserve"> Joe Danielsen</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Asm.</w:t>
      </w:r>
      <w:r>
        <w:rPr>
          <w:rStyle w:val="Hyperlink"/>
          <w:b w:val="false"/>
          <w:bCs w:val="false"/>
          <w:color w:themeColor="hyperlink" w:val="000000"/>
          <w:sz w:val="24"/>
          <w:szCs w:val="24"/>
          <w:u w:val="none"/>
        </w:rPr>
        <w:t xml:space="preserve"> John F. McKeon</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As</w:t>
      </w:r>
      <w:r>
        <w:rPr>
          <w:rStyle w:val="Hyperlink"/>
          <w:b w:val="false"/>
          <w:bCs w:val="false"/>
          <w:color w:themeColor="hyperlink" w:val="000000"/>
          <w:sz w:val="24"/>
          <w:szCs w:val="24"/>
          <w:u w:val="none"/>
        </w:rPr>
        <w:t>m.</w:t>
      </w: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 xml:space="preserve">Linda </w:t>
      </w:r>
      <w:r>
        <w:rPr>
          <w:rStyle w:val="Hyperlink"/>
          <w:b w:val="false"/>
          <w:bCs w:val="false"/>
          <w:color w:themeColor="hyperlink" w:val="000000"/>
          <w:sz w:val="24"/>
          <w:szCs w:val="24"/>
          <w:u w:val="none"/>
        </w:rPr>
        <w:t>Carter</w:t>
      </w:r>
    </w:p>
    <w:p>
      <w:pPr>
        <w:pStyle w:val="Heading3"/>
        <w:bidi w:val="0"/>
        <w:spacing w:lineRule="auto" w:line="14" w:before="0" w:after="115"/>
        <w:jc w:val="left"/>
        <w:rPr/>
      </w:pPr>
      <w:r>
        <w:rPr>
          <w:rStyle w:val="Hyperlink"/>
          <w:rFonts w:ascii="arial" w:hAnsi="arial"/>
          <w:b w:val="false"/>
          <w:bCs w:val="false"/>
          <w:color w:themeColor="hyperlink" w:val="000000"/>
          <w:sz w:val="24"/>
          <w:szCs w:val="24"/>
          <w:u w:val="none"/>
        </w:rPr>
        <w:t xml:space="preserve">  </w:t>
      </w:r>
      <w:r>
        <w:rPr>
          <w:rStyle w:val="Hyperlink"/>
          <w:rFonts w:ascii="arial" w:hAnsi="arial"/>
          <w:b w:val="false"/>
          <w:bCs w:val="false"/>
          <w:i w:val="false"/>
          <w:caps w:val="false"/>
          <w:smallCaps w:val="false"/>
          <w:color w:val="333333"/>
          <w:spacing w:val="0"/>
          <w:sz w:val="24"/>
          <w:szCs w:val="24"/>
          <w:u w:val="none"/>
        </w:rPr>
        <w:t xml:space="preserve">Sen. </w:t>
      </w:r>
      <w:r>
        <w:rPr>
          <w:rStyle w:val="Hyperlink"/>
          <w:rFonts w:ascii="arial" w:hAnsi="arial"/>
          <w:b w:val="false"/>
          <w:bCs w:val="false"/>
          <w:i w:val="false"/>
          <w:caps w:val="false"/>
          <w:smallCaps w:val="false"/>
          <w:color w:val="333333"/>
          <w:spacing w:val="0"/>
          <w:sz w:val="24"/>
          <w:szCs w:val="24"/>
          <w:u w:val="none"/>
        </w:rPr>
        <w:t xml:space="preserve">Doug </w:t>
      </w:r>
      <w:r>
        <w:rPr>
          <w:rStyle w:val="Hyperlink"/>
          <w:rFonts w:ascii="arial" w:hAnsi="arial"/>
          <w:b w:val="false"/>
          <w:bCs w:val="false"/>
          <w:i w:val="false"/>
          <w:caps w:val="false"/>
          <w:smallCaps w:val="false"/>
          <w:color w:val="333333"/>
          <w:spacing w:val="0"/>
          <w:sz w:val="24"/>
          <w:szCs w:val="24"/>
          <w:u w:val="none"/>
        </w:rPr>
        <w:t>Steinhardt</w:t>
      </w:r>
    </w:p>
    <w:p>
      <w:pPr>
        <w:pStyle w:val="Heading3"/>
        <w:bidi w:val="0"/>
        <w:spacing w:lineRule="auto" w:line="14" w:before="0" w:after="115"/>
        <w:jc w:val="left"/>
        <w:rPr/>
      </w:pPr>
      <w:r>
        <w:rPr>
          <w:rStyle w:val="Hyperlink"/>
          <w:rFonts w:ascii="arial" w:hAnsi="arial"/>
          <w:b w:val="false"/>
          <w:bCs w:val="false"/>
          <w:i w:val="false"/>
          <w:caps w:val="false"/>
          <w:smallCaps w:val="false"/>
          <w:color w:themeColor="hyperlink" w:val="000000"/>
          <w:spacing w:val="0"/>
          <w:sz w:val="24"/>
          <w:szCs w:val="24"/>
          <w:u w:val="none"/>
        </w:rPr>
        <w:t xml:space="preserve">  </w:t>
      </w:r>
      <w:r>
        <w:rPr>
          <w:rStyle w:val="Hyperlink"/>
          <w:rFonts w:ascii="arial" w:hAnsi="arial"/>
          <w:b w:val="false"/>
          <w:bCs w:val="false"/>
          <w:i w:val="false"/>
          <w:caps w:val="false"/>
          <w:smallCaps w:val="false"/>
          <w:color w:themeColor="hyperlink" w:val="000000"/>
          <w:spacing w:val="0"/>
          <w:sz w:val="24"/>
          <w:szCs w:val="24"/>
          <w:u w:val="none"/>
        </w:rPr>
        <w:t>Sen. Paul Sarlo</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p>
    <w:p>
      <w:pPr>
        <w:pStyle w:val="Heading3"/>
        <w:bidi w:val="0"/>
        <w:spacing w:lineRule="auto" w:line="14" w:before="0" w:after="115"/>
        <w:jc w:val="left"/>
        <w:rPr/>
      </w:pPr>
      <w:r>
        <w:rPr>
          <w:rStyle w:val="Hyperlink"/>
          <w:b w:val="false"/>
          <w:bCs w:val="false"/>
          <w:color w:themeColor="hyperlink" w:val="000000"/>
          <w:sz w:val="24"/>
          <w:szCs w:val="24"/>
          <w:u w:val="none"/>
        </w:rPr>
        <w:t>Rhode Island  H7817 S2502</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Rep. Stephen Casey</w:t>
        <w:tab/>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 xml:space="preserve">Rep. Thomas Noret </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 xml:space="preserve">Rep. Robert Phillips </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Rep. Michael Chippendale</w:t>
      </w:r>
    </w:p>
    <w:p>
      <w:pPr>
        <w:pStyle w:val="Heading3"/>
        <w:bidi w:val="0"/>
        <w:spacing w:lineRule="auto" w:line="14" w:before="0" w:after="115"/>
        <w:jc w:val="left"/>
        <w:rPr>
          <w:rStyle w:val="Hyperlink"/>
          <w:b w:val="false"/>
          <w:bCs w:val="false"/>
          <w:color w:themeColor="hyperlink" w:val="000000"/>
          <w:sz w:val="24"/>
          <w:szCs w:val="24"/>
          <w:u w:val="none"/>
        </w:rPr>
      </w:pPr>
      <w:r>
        <w:rPr/>
      </w:r>
    </w:p>
    <w:p>
      <w:pPr>
        <w:pStyle w:val="Heading3"/>
        <w:bidi w:val="0"/>
        <w:spacing w:lineRule="auto" w:line="14" w:before="0" w:after="115"/>
        <w:jc w:val="left"/>
        <w:rPr>
          <w:rStyle w:val="Hyperlink"/>
          <w:b w:val="false"/>
          <w:bCs w:val="false"/>
          <w:color w:themeColor="hyperlink" w:val="000000"/>
          <w:sz w:val="24"/>
          <w:szCs w:val="24"/>
          <w:u w:val="none"/>
        </w:rPr>
      </w:pPr>
      <w:r>
        <w:rPr/>
      </w:r>
    </w:p>
    <w:p>
      <w:pPr>
        <w:pStyle w:val="Heading3"/>
        <w:bidi w:val="0"/>
        <w:spacing w:lineRule="auto" w:line="14" w:before="0" w:after="115"/>
        <w:jc w:val="left"/>
        <w:rPr>
          <w:rStyle w:val="Hyperlink"/>
          <w:b w:val="false"/>
          <w:bCs w:val="false"/>
          <w:color w:themeColor="hyperlink" w:val="000000"/>
          <w:sz w:val="24"/>
          <w:szCs w:val="24"/>
          <w:u w:val="none"/>
        </w:rPr>
      </w:pPr>
      <w:r>
        <w:rPr/>
      </w:r>
    </w:p>
    <w:p>
      <w:pPr>
        <w:pStyle w:val="Heading3"/>
        <w:bidi w:val="0"/>
        <w:spacing w:lineRule="auto" w:line="14" w:before="0" w:after="115"/>
        <w:jc w:val="left"/>
        <w:rPr/>
      </w:pPr>
      <w:r>
        <w:rPr>
          <w:rStyle w:val="Hyperlink"/>
          <w:b w:val="false"/>
          <w:bCs w:val="false"/>
          <w:color w:themeColor="hyperlink" w:val="000000"/>
          <w:sz w:val="24"/>
          <w:szCs w:val="24"/>
          <w:u w:val="none"/>
        </w:rPr>
        <w:t>New Hampshire HB1674</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Rep. Juliet Harvey-Bolia</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Rep. Keith Michael Ammon</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Rep. Jason M. Osborne</w:t>
      </w:r>
    </w:p>
    <w:p>
      <w:pPr>
        <w:pStyle w:val="Heading3"/>
        <w:bidi w:val="0"/>
        <w:spacing w:lineRule="auto" w:line="14" w:before="0" w:after="115"/>
        <w:jc w:val="left"/>
        <w:rPr>
          <w:rStyle w:val="Hyperlink"/>
          <w:b w:val="false"/>
          <w:bCs w:val="false"/>
          <w:color w:themeColor="hyperlink" w:val="000000"/>
          <w:sz w:val="24"/>
          <w:szCs w:val="24"/>
          <w:u w:val="none"/>
        </w:rPr>
      </w:pPr>
      <w:r>
        <w:rPr/>
      </w:r>
    </w:p>
    <w:p>
      <w:pPr>
        <w:pStyle w:val="Heading3"/>
        <w:bidi w:val="0"/>
        <w:spacing w:lineRule="auto" w:line="14" w:before="0" w:after="115"/>
        <w:jc w:val="left"/>
        <w:rPr/>
      </w:pPr>
      <w:r>
        <w:rPr>
          <w:rStyle w:val="Hyperlink"/>
          <w:b w:val="false"/>
          <w:bCs w:val="false"/>
          <w:color w:themeColor="hyperlink" w:val="000000"/>
          <w:sz w:val="24"/>
          <w:szCs w:val="24"/>
          <w:u w:val="none"/>
        </w:rPr>
        <w:t>Money Metals, Inc</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Stefan Gleason</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Mike Gleason</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r>
        <w:rPr>
          <w:rStyle w:val="Hyperlink"/>
          <w:b w:val="false"/>
          <w:bCs w:val="false"/>
          <w:color w:themeColor="hyperlink" w:val="000000"/>
          <w:sz w:val="24"/>
          <w:szCs w:val="24"/>
          <w:u w:val="none"/>
        </w:rPr>
        <w:t>Jan Nieuwenhuijs</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 </w:t>
      </w:r>
    </w:p>
    <w:p>
      <w:pPr>
        <w:pStyle w:val="Heading3"/>
        <w:bidi w:val="0"/>
        <w:spacing w:lineRule="auto" w:line="14" w:before="0" w:after="115"/>
        <w:jc w:val="left"/>
        <w:rPr/>
      </w:pPr>
      <w:r>
        <w:rPr>
          <w:rStyle w:val="Hyperlink"/>
          <w:b w:val="false"/>
          <w:bCs w:val="false"/>
          <w:color w:themeColor="hyperlink" w:val="000000"/>
          <w:sz w:val="24"/>
          <w:szCs w:val="24"/>
          <w:u w:val="none"/>
        </w:rPr>
        <w:t>Ingersoll Lockwood</w:t>
      </w:r>
    </w:p>
    <w:p>
      <w:pPr>
        <w:pStyle w:val="Heading3"/>
        <w:bidi w:val="0"/>
        <w:spacing w:lineRule="auto" w:line="14" w:before="0" w:after="115"/>
        <w:jc w:val="left"/>
        <w:rPr>
          <w:rStyle w:val="Hyperlink"/>
          <w:b w:val="false"/>
          <w:bCs w:val="false"/>
          <w:color w:themeColor="hyperlink" w:val="000000"/>
          <w:sz w:val="24"/>
          <w:szCs w:val="24"/>
          <w:u w:val="none"/>
        </w:rPr>
      </w:pPr>
      <w:r>
        <w:rPr/>
      </w:r>
    </w:p>
    <w:p>
      <w:pPr>
        <w:pStyle w:val="Heading3"/>
        <w:bidi w:val="0"/>
        <w:spacing w:lineRule="auto" w:line="14" w:before="0" w:after="115"/>
        <w:jc w:val="left"/>
        <w:rPr/>
      </w:pPr>
      <w:r>
        <w:rPr>
          <w:rStyle w:val="Hyperlink"/>
          <w:b w:val="false"/>
          <w:bCs w:val="false"/>
          <w:color w:themeColor="hyperlink" w:val="000000"/>
          <w:sz w:val="24"/>
          <w:szCs w:val="24"/>
          <w:u w:val="none"/>
        </w:rPr>
        <w:t>Elon Musk</w:t>
      </w:r>
    </w:p>
    <w:p>
      <w:pPr>
        <w:pStyle w:val="Heading3"/>
        <w:bidi w:val="0"/>
        <w:spacing w:lineRule="auto" w:line="14" w:before="0" w:after="115"/>
        <w:jc w:val="left"/>
        <w:rPr/>
      </w:pPr>
      <w:r>
        <w:rPr>
          <w:rStyle w:val="Hyperlink"/>
          <w:b w:val="false"/>
          <w:bCs w:val="false"/>
          <w:color w:themeColor="hyperlink" w:val="000000"/>
          <w:sz w:val="24"/>
          <w:szCs w:val="24"/>
          <w:u w:val="none"/>
        </w:rPr>
        <w:t>Tim Pool</w:t>
      </w:r>
    </w:p>
    <w:p>
      <w:pPr>
        <w:pStyle w:val="Heading3"/>
        <w:bidi w:val="0"/>
        <w:spacing w:lineRule="auto" w:line="14" w:before="0" w:after="115"/>
        <w:jc w:val="left"/>
        <w:rPr/>
      </w:pPr>
      <w:r>
        <w:rPr>
          <w:rStyle w:val="Hyperlink"/>
          <w:b w:val="false"/>
          <w:bCs w:val="false"/>
          <w:color w:themeColor="hyperlink" w:val="000000"/>
          <w:sz w:val="24"/>
          <w:szCs w:val="24"/>
          <w:u w:val="none"/>
        </w:rPr>
        <w:t>Alex Jones</w:t>
      </w:r>
    </w:p>
    <w:p>
      <w:pPr>
        <w:pStyle w:val="Heading3"/>
        <w:bidi w:val="0"/>
        <w:spacing w:lineRule="auto" w:line="14" w:before="0" w:after="115"/>
        <w:jc w:val="left"/>
        <w:rPr/>
      </w:pPr>
      <w:r>
        <w:rPr>
          <w:rStyle w:val="Hyperlink"/>
          <w:b w:val="false"/>
          <w:bCs w:val="false"/>
          <w:color w:themeColor="hyperlink" w:val="000000"/>
          <w:sz w:val="24"/>
          <w:szCs w:val="24"/>
          <w:u w:val="none"/>
        </w:rPr>
        <w:t>Robert Kennedy</w:t>
      </w:r>
    </w:p>
    <w:p>
      <w:pPr>
        <w:pStyle w:val="Heading3"/>
        <w:bidi w:val="0"/>
        <w:spacing w:lineRule="auto" w:line="14" w:before="0" w:after="115"/>
        <w:jc w:val="left"/>
        <w:rPr/>
      </w:pPr>
      <w:r>
        <w:rPr>
          <w:rStyle w:val="Hyperlink"/>
          <w:b w:val="false"/>
          <w:bCs w:val="false"/>
          <w:color w:themeColor="hyperlink" w:val="000000"/>
          <w:sz w:val="24"/>
          <w:szCs w:val="24"/>
          <w:u w:val="none"/>
        </w:rPr>
        <w:t>Ray Dalio</w:t>
      </w:r>
    </w:p>
    <w:p>
      <w:pPr>
        <w:pStyle w:val="Heading3"/>
        <w:bidi w:val="0"/>
        <w:spacing w:lineRule="auto" w:line="14" w:before="0" w:after="115"/>
        <w:jc w:val="left"/>
        <w:rPr/>
      </w:pPr>
      <w:r>
        <w:rPr>
          <w:rStyle w:val="Hyperlink"/>
          <w:b w:val="false"/>
          <w:bCs w:val="false"/>
          <w:color w:themeColor="hyperlink" w:val="000000"/>
          <w:sz w:val="24"/>
          <w:szCs w:val="24"/>
          <w:u w:val="none"/>
        </w:rPr>
        <w:t>Candace Owens</w:t>
      </w:r>
    </w:p>
    <w:p>
      <w:pPr>
        <w:pStyle w:val="Heading3"/>
        <w:bidi w:val="0"/>
        <w:spacing w:lineRule="auto" w:line="14" w:before="0" w:after="115"/>
        <w:jc w:val="left"/>
        <w:rPr/>
      </w:pPr>
      <w:r>
        <w:rPr>
          <w:rStyle w:val="Hyperlink"/>
          <w:b w:val="false"/>
          <w:bCs w:val="false"/>
          <w:color w:themeColor="hyperlink" w:val="000000"/>
          <w:sz w:val="24"/>
          <w:szCs w:val="24"/>
          <w:u w:val="none"/>
        </w:rPr>
        <w:t>Nick Cannon</w:t>
      </w:r>
    </w:p>
    <w:p>
      <w:pPr>
        <w:pStyle w:val="Heading3"/>
        <w:bidi w:val="0"/>
        <w:spacing w:lineRule="auto" w:line="14" w:before="0" w:after="115"/>
        <w:jc w:val="left"/>
        <w:rPr/>
      </w:pPr>
      <w:r>
        <w:rPr>
          <w:rStyle w:val="Hyperlink"/>
          <w:b w:val="false"/>
          <w:bCs w:val="false"/>
          <w:color w:themeColor="hyperlink" w:val="000000"/>
          <w:sz w:val="24"/>
          <w:szCs w:val="24"/>
          <w:u w:val="none"/>
        </w:rPr>
        <w:t>Glenn Beck</w:t>
      </w:r>
    </w:p>
    <w:p>
      <w:pPr>
        <w:pStyle w:val="Heading3"/>
        <w:bidi w:val="0"/>
        <w:spacing w:lineRule="auto" w:line="14" w:before="0" w:after="115"/>
        <w:jc w:val="left"/>
        <w:rPr/>
      </w:pPr>
      <w:r>
        <w:rPr>
          <w:rStyle w:val="Hyperlink"/>
          <w:b w:val="false"/>
          <w:bCs w:val="false"/>
          <w:color w:themeColor="hyperlink" w:val="000000"/>
          <w:sz w:val="24"/>
          <w:szCs w:val="24"/>
          <w:u w:val="none"/>
        </w:rPr>
        <w:t>Tucker Carlson</w:t>
      </w:r>
    </w:p>
    <w:p>
      <w:pPr>
        <w:pStyle w:val="Heading3"/>
        <w:bidi w:val="0"/>
        <w:spacing w:lineRule="auto" w:line="14" w:before="0" w:after="115"/>
        <w:jc w:val="left"/>
        <w:rPr/>
      </w:pPr>
      <w:r>
        <w:rPr>
          <w:rStyle w:val="Hyperlink"/>
          <w:b w:val="false"/>
          <w:bCs w:val="false"/>
          <w:color w:themeColor="hyperlink" w:val="000000"/>
          <w:sz w:val="24"/>
          <w:szCs w:val="24"/>
          <w:u w:val="none"/>
        </w:rPr>
        <w:t>Steve Kirsch</w:t>
      </w:r>
    </w:p>
    <w:p>
      <w:pPr>
        <w:pStyle w:val="Heading3"/>
        <w:bidi w:val="0"/>
        <w:spacing w:lineRule="auto" w:line="14" w:before="0" w:after="115"/>
        <w:jc w:val="left"/>
        <w:rPr/>
      </w:pPr>
      <w:r>
        <w:rPr>
          <w:rStyle w:val="Hyperlink"/>
          <w:b w:val="false"/>
          <w:bCs w:val="false"/>
          <w:color w:themeColor="hyperlink" w:val="000000"/>
          <w:sz w:val="24"/>
          <w:szCs w:val="24"/>
          <w:u w:val="none"/>
        </w:rPr>
        <w:t>Lara Trump</w:t>
      </w:r>
    </w:p>
    <w:p>
      <w:pPr>
        <w:pStyle w:val="Heading3"/>
        <w:bidi w:val="0"/>
        <w:spacing w:lineRule="auto" w:line="14" w:before="0" w:after="115"/>
        <w:jc w:val="left"/>
        <w:rPr/>
      </w:pPr>
      <w:r>
        <w:rPr>
          <w:rStyle w:val="Hyperlink"/>
          <w:b w:val="false"/>
          <w:bCs w:val="false"/>
          <w:color w:themeColor="hyperlink" w:val="000000"/>
          <w:sz w:val="24"/>
          <w:szCs w:val="24"/>
          <w:u w:val="none"/>
        </w:rPr>
        <w:t>Donald Trump Jr</w:t>
      </w:r>
    </w:p>
    <w:p>
      <w:pPr>
        <w:pStyle w:val="Heading3"/>
        <w:bidi w:val="0"/>
        <w:spacing w:lineRule="auto" w:line="14" w:before="0" w:after="115"/>
        <w:jc w:val="left"/>
        <w:rPr/>
      </w:pPr>
      <w:r>
        <w:rPr>
          <w:rStyle w:val="Hyperlink"/>
          <w:b w:val="false"/>
          <w:bCs w:val="false"/>
          <w:color w:themeColor="hyperlink" w:val="000000"/>
          <w:sz w:val="24"/>
          <w:szCs w:val="24"/>
          <w:u w:val="none"/>
        </w:rPr>
        <w:t>MC Armstrong</w:t>
      </w:r>
    </w:p>
    <w:p>
      <w:pPr>
        <w:pStyle w:val="Heading3"/>
        <w:bidi w:val="0"/>
        <w:spacing w:lineRule="auto" w:line="14" w:before="0" w:after="115"/>
        <w:jc w:val="left"/>
        <w:rPr/>
      </w:pPr>
      <w:r>
        <w:rPr>
          <w:rStyle w:val="Hyperlink"/>
          <w:b w:val="false"/>
          <w:bCs w:val="false"/>
          <w:color w:themeColor="hyperlink" w:val="000000"/>
          <w:sz w:val="24"/>
          <w:szCs w:val="24"/>
          <w:u w:val="none"/>
        </w:rPr>
        <w:t>Joe Rogan</w:t>
      </w:r>
    </w:p>
    <w:p>
      <w:pPr>
        <w:pStyle w:val="Heading3"/>
        <w:bidi w:val="0"/>
        <w:spacing w:lineRule="auto" w:line="14" w:before="0" w:after="115"/>
        <w:jc w:val="left"/>
        <w:rPr/>
      </w:pPr>
      <w:r>
        <w:rPr>
          <w:rStyle w:val="Hyperlink"/>
          <w:b w:val="false"/>
          <w:bCs w:val="false"/>
          <w:color w:themeColor="hyperlink" w:val="000000"/>
          <w:sz w:val="24"/>
          <w:szCs w:val="24"/>
          <w:u w:val="none"/>
        </w:rPr>
        <w:t>Charlie Kirk</w:t>
      </w:r>
    </w:p>
    <w:p>
      <w:pPr>
        <w:pStyle w:val="Heading3"/>
        <w:bidi w:val="0"/>
        <w:spacing w:lineRule="auto" w:line="14" w:before="0" w:after="115"/>
        <w:jc w:val="left"/>
        <w:rPr/>
      </w:pPr>
      <w:r>
        <w:rPr>
          <w:rStyle w:val="Hyperlink"/>
          <w:b w:val="false"/>
          <w:bCs w:val="false"/>
          <w:color w:themeColor="hyperlink" w:val="000000"/>
          <w:sz w:val="24"/>
          <w:szCs w:val="24"/>
          <w:u w:val="none"/>
        </w:rPr>
        <w:t>Nicole Shanahan</w:t>
      </w:r>
    </w:p>
    <w:p>
      <w:pPr>
        <w:pStyle w:val="Heading3"/>
        <w:bidi w:val="0"/>
        <w:spacing w:lineRule="auto" w:line="14" w:before="0" w:after="115"/>
        <w:jc w:val="left"/>
        <w:rPr/>
      </w:pPr>
      <w:r>
        <w:rPr>
          <w:rStyle w:val="Hyperlink"/>
          <w:b w:val="false"/>
          <w:bCs w:val="false"/>
          <w:color w:themeColor="hyperlink" w:val="000000"/>
          <w:sz w:val="24"/>
          <w:szCs w:val="24"/>
          <w:u w:val="none"/>
        </w:rPr>
        <w:t>Ryan Cohen</w:t>
      </w:r>
    </w:p>
    <w:p>
      <w:pPr>
        <w:pStyle w:val="Heading3"/>
        <w:bidi w:val="0"/>
        <w:spacing w:lineRule="auto" w:line="14" w:before="0" w:after="115"/>
        <w:jc w:val="left"/>
        <w:rPr/>
      </w:pPr>
      <w:r>
        <w:rPr>
          <w:rStyle w:val="Hyperlink"/>
          <w:b w:val="false"/>
          <w:bCs w:val="false"/>
          <w:color w:themeColor="hyperlink" w:val="000000"/>
          <w:sz w:val="24"/>
          <w:szCs w:val="24"/>
          <w:u w:val="none"/>
        </w:rPr>
        <w:t xml:space="preserve">Jacob Creech </w:t>
      </w:r>
    </w:p>
    <w:p>
      <w:pPr>
        <w:pStyle w:val="Heading3"/>
        <w:bidi w:val="0"/>
        <w:spacing w:lineRule="auto" w:line="14" w:before="0" w:after="115"/>
        <w:jc w:val="left"/>
        <w:rPr/>
      </w:pPr>
      <w:r>
        <w:rPr>
          <w:rStyle w:val="Hyperlink"/>
          <w:b w:val="false"/>
          <w:bCs w:val="false"/>
          <w:color w:themeColor="hyperlink" w:val="000000"/>
          <w:sz w:val="24"/>
          <w:szCs w:val="24"/>
          <w:u w:val="none"/>
        </w:rPr>
        <w:t>J.D. Weigel</w:t>
      </w:r>
    </w:p>
    <w:p>
      <w:pPr>
        <w:pStyle w:val="Heading3"/>
        <w:bidi w:val="0"/>
        <w:spacing w:lineRule="auto" w:line="14" w:before="0" w:after="115"/>
        <w:jc w:val="left"/>
        <w:rPr>
          <w:rStyle w:val="Hyperlink"/>
          <w:b w:val="false"/>
          <w:bCs w:val="false"/>
          <w:color w:themeColor="hyperlink" w:val="000000"/>
          <w:sz w:val="24"/>
          <w:szCs w:val="24"/>
          <w:u w:val="none"/>
        </w:rPr>
      </w:pPr>
      <w:r>
        <w:rPr/>
      </w:r>
    </w:p>
    <w:p>
      <w:pPr>
        <w:pStyle w:val="Heading3"/>
        <w:bidi w:val="0"/>
        <w:spacing w:lineRule="auto" w:line="14" w:before="0" w:after="115"/>
        <w:jc w:val="left"/>
        <w:rPr/>
      </w:pPr>
      <w:r>
        <w:rPr>
          <w:rStyle w:val="Hyperlink"/>
          <w:b w:val="false"/>
          <w:bCs w:val="false"/>
          <w:color w:themeColor="hyperlink" w:val="000000"/>
          <w:sz w:val="24"/>
          <w:szCs w:val="24"/>
          <w:u w:val="none"/>
        </w:rPr>
        <w:t>Sound Money Movement</w:t>
      </w:r>
    </w:p>
    <w:p>
      <w:pPr>
        <w:pStyle w:val="Heading3"/>
        <w:bidi w:val="0"/>
        <w:spacing w:lineRule="auto" w:line="14" w:before="0" w:after="115"/>
        <w:jc w:val="left"/>
        <w:rPr>
          <w:rStyle w:val="Hyperlink"/>
          <w:b w:val="false"/>
          <w:bCs w:val="false"/>
          <w:color w:themeColor="hyperlink" w:val="000000"/>
          <w:sz w:val="24"/>
          <w:szCs w:val="24"/>
          <w:u w:val="none"/>
        </w:rPr>
      </w:pPr>
      <w:r>
        <w:rPr>
          <w:rStyle w:val="Hyperlink"/>
          <w:b w:val="false"/>
          <w:bCs w:val="false"/>
          <w:color w:themeColor="hyperlink" w:val="000000"/>
          <w:sz w:val="24"/>
          <w:szCs w:val="24"/>
          <w:u w:val="none"/>
        </w:rPr>
        <w:t xml:space="preserve">  </w:t>
      </w:r>
      <w:r>
        <w:rPr>
          <w:rStyle w:val="Hyperlink"/>
          <w:rFonts w:ascii="source sans pro;sans-serif" w:hAnsi="source sans pro;sans-serif"/>
          <w:b w:val="false"/>
          <w:bCs w:val="false"/>
          <w:i w:val="false"/>
          <w:caps w:val="false"/>
          <w:smallCaps w:val="false"/>
          <w:color w:val="333333"/>
          <w:spacing w:val="0"/>
          <w:sz w:val="24"/>
          <w:szCs w:val="24"/>
          <w:u w:val="none"/>
        </w:rPr>
        <w:t>Jp Cortez</w:t>
      </w:r>
    </w:p>
    <w:p>
      <w:pPr>
        <w:pStyle w:val="Heading3"/>
        <w:bidi w:val="0"/>
        <w:spacing w:before="0" w:after="115"/>
        <w:jc w:val="left"/>
        <w:rPr>
          <w:rStyle w:val="Hyperlink"/>
          <w:b w:val="false"/>
          <w:bCs w:val="false"/>
          <w:color w:val="000000"/>
          <w:sz w:val="24"/>
          <w:szCs w:val="24"/>
          <w:u w:val="none"/>
        </w:rPr>
      </w:pPr>
      <w:r>
        <w:rPr>
          <w:b w:val="false"/>
          <w:bCs w:val="false"/>
          <w:color w:themeColor="accent1" w:val="000000"/>
          <w:sz w:val="24"/>
          <w:szCs w:val="24"/>
          <w:u w:val="none"/>
        </w:rPr>
      </w:r>
    </w:p>
    <w:p>
      <w:pPr>
        <w:sectPr>
          <w:type w:val="nextPage"/>
          <w:pgSz w:w="12240" w:h="15840"/>
          <w:pgMar w:left="691" w:right="691" w:gutter="0" w:header="0" w:top="461" w:footer="0" w:bottom="461"/>
          <w:pgNumType w:fmt="decimal"/>
          <w:cols w:num="2" w:space="288" w:equalWidth="true" w:sep="false"/>
          <w:formProt w:val="false"/>
          <w:textDirection w:val="lrTb"/>
        </w:sectPr>
      </w:pPr>
    </w:p>
    <w:p>
      <w:pPr>
        <w:pStyle w:val="Heading3"/>
        <w:bidi w:val="0"/>
        <w:spacing w:before="0" w:after="115"/>
        <w:jc w:val="left"/>
        <w:rPr>
          <w:color w:val="5B9BD5"/>
        </w:rPr>
      </w:pPr>
      <w:r>
        <w:drawing>
          <wp:anchor behindDoc="0" distT="0" distB="0" distL="0" distR="0" simplePos="0" locked="0" layoutInCell="0" allowOverlap="1" relativeHeight="2">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2024, Ver 6</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https://broward.ghost.io/tag/gold-token/</w:t>
        </w:r>
      </w:hyperlink>
    </w:p>
    <w:p>
      <w:pPr>
        <w:pStyle w:val="Normal"/>
        <w:bidi w:val="0"/>
        <w:jc w:val="left"/>
        <w:rPr/>
      </w:pPr>
      <w:r>
        <w:rPr/>
        <w:br/>
        <w:t xml:space="preserve">Download current version at </w:t>
      </w:r>
      <w:hyperlink r:id="rId4">
        <w:r>
          <w:rPr>
            <w:rStyle w:val="Hyperlink"/>
          </w:rPr>
          <w:t>https://broward.ghost.io/current-gold-paper</w:t>
        </w:r>
      </w:hyperlink>
    </w:p>
    <w:p>
      <w:pPr>
        <w:pStyle w:val="Heading3"/>
        <w:bidi w:val="0"/>
        <w:jc w:val="left"/>
        <w:rPr/>
      </w:pPr>
      <w:r>
        <w:rPr>
          <w:b/>
        </w:rPr>
        <w:t>Abstract</w:t>
      </w:r>
      <w:r>
        <w:rPr/>
        <w:t>:</w:t>
      </w:r>
    </w:p>
    <w:p>
      <w:pPr>
        <w:pStyle w:val="Normal"/>
        <w:bidi w:val="0"/>
        <w:jc w:val="left"/>
        <w:rPr/>
      </w:pPr>
      <w:r>
        <w:rPr/>
        <w:t xml:space="preserve">This paper contains three complementary proposals to create a </w:t>
      </w:r>
      <w:r>
        <w:rPr>
          <w:b/>
          <w:bCs/>
        </w:rPr>
        <w:t>State Depository Token (SDT)</w:t>
      </w:r>
      <w:r>
        <w:rPr/>
        <w:t xml:space="preserve"> backed by a State-regulated depository similar to </w:t>
      </w:r>
      <w:hyperlink r:id="rId5">
        <w:r>
          <w:rPr>
            <w:rStyle w:val="Hyperlink"/>
            <w:sz w:val="20"/>
          </w:rPr>
          <w:t>Texas bills S.B. No. 2334 and H.B. No. 4903</w:t>
        </w:r>
      </w:hyperlink>
      <w:r>
        <w:rPr>
          <w:rStyle w:val="Hyperlink"/>
          <w:sz w:val="20"/>
        </w:rPr>
        <w:t xml:space="preserve">. </w:t>
      </w:r>
    </w:p>
    <w:p>
      <w:pPr>
        <w:pStyle w:val="Normal"/>
        <w:bidi w:val="0"/>
        <w:jc w:val="left"/>
        <w:rPr/>
      </w:pPr>
      <w:r>
        <w:rPr/>
      </w:r>
    </w:p>
    <w:p>
      <w:pPr>
        <w:pStyle w:val="Normal"/>
        <w:bidi w:val="0"/>
        <w:jc w:val="left"/>
        <w:rPr/>
      </w:pPr>
      <w:r>
        <w:rPr/>
        <w:t>1)</w:t>
      </w:r>
      <w:hyperlink r:id="rId6">
        <w:r>
          <w:rPr>
            <w:rStyle w:val="Hyperlink"/>
          </w:rPr>
          <w:t xml:space="preserve"> </w:t>
        </w:r>
        <w:r>
          <w:rPr>
            <w:rStyle w:val="Hyperlink"/>
            <w:b/>
            <w:bCs/>
          </w:rPr>
          <w:t>GOLD DIGR</w:t>
        </w:r>
        <w:r>
          <w:rPr>
            <w:rStyle w:val="Hyperlink"/>
          </w:rPr>
          <w:t xml:space="preserve"> </w:t>
        </w:r>
      </w:hyperlink>
      <w:r>
        <w:rPr/>
        <w:t>is an overview of historical and political forces‚ current legislation and strategic design.</w:t>
      </w:r>
    </w:p>
    <w:p>
      <w:pPr>
        <w:pStyle w:val="Normal"/>
        <w:bidi w:val="0"/>
        <w:jc w:val="left"/>
        <w:rPr/>
      </w:pPr>
      <w:r>
        <w:rPr/>
      </w:r>
    </w:p>
    <w:p>
      <w:pPr>
        <w:pStyle w:val="Normal"/>
        <w:bidi w:val="0"/>
        <w:jc w:val="left"/>
        <w:rPr/>
      </w:pPr>
      <w:r>
        <w:rPr/>
        <w:t xml:space="preserve">2) </w:t>
      </w:r>
      <w:hyperlink r:id="rId7">
        <w:r>
          <w:rPr>
            <w:rStyle w:val="Hyperlink"/>
            <w:b/>
            <w:bCs/>
          </w:rPr>
          <w:t>TWG</w:t>
        </w:r>
        <w:r>
          <w:rPr>
            <w:rStyle w:val="Hyperlink"/>
          </w:rPr>
          <w:t xml:space="preserve"> proposes a multi-State task force </w:t>
        </w:r>
      </w:hyperlink>
      <w:r>
        <w:rPr/>
        <w:t>to develop a SDT framework for several States and partners.</w:t>
      </w:r>
    </w:p>
    <w:p>
      <w:pPr>
        <w:pStyle w:val="Normal"/>
        <w:bidi w:val="0"/>
        <w:jc w:val="left"/>
        <w:rPr/>
      </w:pPr>
      <w:r>
        <w:rPr/>
      </w:r>
    </w:p>
    <w:p>
      <w:pPr>
        <w:pStyle w:val="Normal"/>
        <w:bidi w:val="0"/>
        <w:jc w:val="left"/>
        <w:rPr/>
      </w:pPr>
      <w:r>
        <w:rPr/>
        <w:t xml:space="preserve">3) </w:t>
      </w:r>
      <w:hyperlink r:id="rId8">
        <w:r>
          <w:rPr>
            <w:rStyle w:val="Hyperlink"/>
            <w:b/>
            <w:bCs/>
          </w:rPr>
          <w:t>SXS</w:t>
        </w:r>
        <w:r>
          <w:rPr>
            <w:rStyle w:val="Hyperlink"/>
          </w:rPr>
          <w:t xml:space="preserve"> is an interstate exchange system</w:t>
        </w:r>
      </w:hyperlink>
      <w:r>
        <w:rPr/>
        <w:t xml:space="preserve"> like the evolving BRICS currency proposal.</w:t>
      </w:r>
    </w:p>
    <w:p>
      <w:pPr>
        <w:pStyle w:val="Normal"/>
        <w:bidi w:val="0"/>
        <w:jc w:val="left"/>
        <w:rPr>
          <w:b/>
        </w:rPr>
      </w:pPr>
      <w:r>
        <w:rPr>
          <w:b/>
        </w:rPr>
      </w:r>
    </w:p>
    <w:p>
      <w:pPr>
        <w:pStyle w:val="Normal"/>
        <w:bidi w:val="0"/>
        <w:jc w:val="left"/>
        <w:rPr/>
      </w:pPr>
      <w:r>
        <w:rPr>
          <w:b w:val="false"/>
          <w:bCs w:val="false"/>
        </w:rPr>
        <w:t>My goal is to create a real system via State funding‚ grants‚ consulting, sponsorship. etc.  I have the skills to do it, m</w:t>
      </w:r>
      <w:hyperlink r:id="rId9">
        <w:r>
          <w:rPr>
            <w:rStyle w:val="Hyperlink"/>
            <w:b w:val="false"/>
            <w:bCs w:val="false"/>
          </w:rPr>
          <w:t xml:space="preserve">y background is </w:t>
        </w:r>
        <w:r>
          <w:rPr>
            <w:rStyle w:val="Hyperlink"/>
          </w:rPr>
          <w:t>eclectic</w:t>
        </w:r>
      </w:hyperlink>
      <w:r>
        <w:rPr>
          <w:b w:val="false"/>
          <w:bCs w:val="false"/>
        </w:rPr>
        <w:t xml:space="preserve"> and spans startups‚ corporations‚ State and Federal systems for 35 years.</w:t>
      </w:r>
    </w:p>
    <w:p>
      <w:pPr>
        <w:pStyle w:val="Heading3"/>
        <w:rPr/>
      </w:pPr>
      <w:r>
        <w:rPr/>
        <w:t>System Overview</w:t>
      </w:r>
    </w:p>
    <w:p>
      <w:pPr>
        <w:pStyle w:val="Normal"/>
        <w:bidi w:val="0"/>
        <w:jc w:val="left"/>
        <w:rPr>
          <w:b w:val="false"/>
          <w:bCs w:val="false"/>
        </w:rPr>
      </w:pPr>
      <w:r>
        <w:rPr>
          <w:b w:val="false"/>
          <w:bCs w:val="false"/>
        </w:rPr>
        <w:drawing>
          <wp:anchor behindDoc="0" distT="0" distB="0" distL="0" distR="0" simplePos="0" locked="0" layoutInCell="0" allowOverlap="1" relativeHeight="11">
            <wp:simplePos x="0" y="0"/>
            <wp:positionH relativeFrom="column">
              <wp:posOffset>504190</wp:posOffset>
            </wp:positionH>
            <wp:positionV relativeFrom="paragraph">
              <wp:posOffset>89535</wp:posOffset>
            </wp:positionV>
            <wp:extent cx="5886450" cy="197739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10"/>
                    <a:stretch>
                      <a:fillRect/>
                    </a:stretch>
                  </pic:blipFill>
                  <pic:spPr bwMode="auto">
                    <a:xfrm>
                      <a:off x="0" y="0"/>
                      <a:ext cx="5886450" cy="1977390"/>
                    </a:xfrm>
                    <a:prstGeom prst="rect">
                      <a:avLst/>
                    </a:prstGeom>
                  </pic:spPr>
                </pic:pic>
              </a:graphicData>
            </a:graphic>
          </wp:anchor>
        </w:drawing>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pPr>
      <w:r>
        <w:rPr/>
      </w:r>
    </w:p>
    <w:p>
      <w:pPr>
        <w:pStyle w:val="Heading4"/>
        <w:bidi w:val="0"/>
        <w:jc w:val="left"/>
        <w:rPr>
          <w:b/>
        </w:rPr>
      </w:pPr>
      <w:r>
        <w:rPr>
          <w:b/>
        </w:rPr>
      </w:r>
    </w:p>
    <w:p>
      <w:pPr>
        <w:pStyle w:val="Normal"/>
        <w:rPr/>
      </w:pPr>
      <w:r>
        <w:rPr/>
      </w:r>
    </w:p>
    <w:p>
      <w:pPr>
        <w:pStyle w:val="Normal"/>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SDT.</w:t>
      </w:r>
    </w:p>
    <w:p>
      <w:pPr>
        <w:pStyle w:val="Normal"/>
        <w:rPr/>
      </w:pPr>
      <w:r>
        <w:rPr/>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94830" cy="2145665"/>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11"/>
                    <a:stretch>
                      <a:fillRect/>
                    </a:stretch>
                  </pic:blipFill>
                  <pic:spPr bwMode="auto">
                    <a:xfrm>
                      <a:off x="0" y="0"/>
                      <a:ext cx="6894830" cy="2145665"/>
                    </a:xfrm>
                    <a:prstGeom prst="rect">
                      <a:avLst/>
                    </a:prstGeom>
                  </pic:spPr>
                </pic:pic>
              </a:graphicData>
            </a:graphic>
          </wp:anchor>
        </w:drawing>
      </w:r>
    </w:p>
    <w:p>
      <w:pPr>
        <w:pStyle w:val="Heading4"/>
        <w:bidi w:val="0"/>
        <w:jc w:val="left"/>
        <w:rPr/>
      </w:pPr>
      <w:r>
        <w:rPr>
          <w:b/>
        </w:rPr>
        <w:t>Parasocial Relationship</w:t>
      </w:r>
    </w:p>
    <w:p>
      <w:pPr>
        <w:pStyle w:val="Normal"/>
        <w:rPr/>
      </w:pPr>
      <w:r>
        <w:rPr/>
        <w:t xml:space="preserve">Parasocial relationships are one-sided, where one party extends energy and time with the other party unaware of the other’s existence.  </w:t>
      </w:r>
      <w:r>
        <w:rPr>
          <w:rFonts w:ascii="Times new roman" w:hAnsi="Times new roman"/>
          <w:b w:val="false"/>
          <w:i w:val="false"/>
          <w:caps w:val="false"/>
          <w:smallCaps w:val="false"/>
          <w:color w:val="333333"/>
          <w:spacing w:val="0"/>
          <w:sz w:val="24"/>
          <w:szCs w:val="24"/>
        </w:rPr>
        <w:t>The dollar is an increasingly parasocial relationship which transfers value from citizens to an elite minority, just as a celebrity profits from fans with no knowledge or concern for them, which is why tax money now flows to other countries and people with no direct benefit to taxpayers. </w:t>
      </w:r>
    </w:p>
    <w:p>
      <w:pPr>
        <w:pStyle w:val="Normal"/>
        <w:rPr/>
      </w:pPr>
      <w:r>
        <w:rPr/>
      </w:r>
    </w:p>
    <w:p>
      <w:pPr>
        <w:pStyle w:val="Normal"/>
        <w:rPr/>
      </w:pPr>
      <w:r>
        <w:rPr/>
        <w:t>An impedance-matched token would adapt to regional and local conditions and requirements.</w:t>
      </w:r>
    </w:p>
    <w:p>
      <w:pPr>
        <w:pStyle w:val="Normal"/>
        <w:rPr/>
      </w:pPr>
      <w:r>
        <w:rPr/>
        <w:drawing>
          <wp:anchor behindDoc="0" distT="0" distB="0" distL="0" distR="0" simplePos="0" locked="0" layoutInCell="0" allowOverlap="1" relativeHeight="14">
            <wp:simplePos x="0" y="0"/>
            <wp:positionH relativeFrom="column">
              <wp:posOffset>47625</wp:posOffset>
            </wp:positionH>
            <wp:positionV relativeFrom="paragraph">
              <wp:posOffset>104775</wp:posOffset>
            </wp:positionV>
            <wp:extent cx="6894830" cy="2047875"/>
            <wp:effectExtent l="0" t="0" r="0" b="0"/>
            <wp:wrapSquare wrapText="largest"/>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12"/>
                    <a:stretch>
                      <a:fillRect/>
                    </a:stretch>
                  </pic:blipFill>
                  <pic:spPr bwMode="auto">
                    <a:xfrm>
                      <a:off x="0" y="0"/>
                      <a:ext cx="6894830" cy="2047875"/>
                    </a:xfrm>
                    <a:prstGeom prst="rect">
                      <a:avLst/>
                    </a:prstGeom>
                  </pic:spPr>
                </pic:pic>
              </a:graphicData>
            </a:graphic>
          </wp:anchor>
        </w:drawing>
      </w:r>
    </w:p>
    <w:p>
      <w:pPr>
        <w:pStyle w:val="Heading4"/>
        <w:bidi w:val="0"/>
        <w:jc w:val="left"/>
        <w:rPr/>
      </w:pPr>
      <w:r>
        <w:rPr>
          <w:b/>
        </w:rPr>
        <w:t>Impedance-Matched Token</w:t>
      </w:r>
    </w:p>
    <w:p>
      <w:pPr>
        <w:pStyle w:val="Normal"/>
        <w:bidi w:val="0"/>
        <w:jc w:val="left"/>
        <w:rPr/>
      </w:pPr>
      <w:r>
        <w:rPr/>
        <w:t>The Euro is somewhat like harnessing a horse, a mule, a dog and a turtle to pull a wagon. A "one size fits all" strategy creates stresses because regions have different resources, skills, goals. Most economic transactions are local and an SDT would be controlled regionally to meet regional conditions.</w:t>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283210</wp:posOffset>
            </wp:positionV>
            <wp:extent cx="6829425" cy="433705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13"/>
                    <a:stretch>
                      <a:fillRect/>
                    </a:stretch>
                  </pic:blipFill>
                  <pic:spPr bwMode="auto">
                    <a:xfrm>
                      <a:off x="0" y="0"/>
                      <a:ext cx="6829425" cy="4337050"/>
                    </a:xfrm>
                    <a:prstGeom prst="rect">
                      <a:avLst/>
                    </a:prstGeom>
                  </pic:spPr>
                </pic:pic>
              </a:graphicData>
            </a:graphic>
          </wp:anchor>
        </w:drawing>
      </w:r>
      <w:r>
        <w:br w:type="page"/>
      </w:r>
    </w:p>
    <w:p>
      <w:pPr>
        <w:pStyle w:val="Heading3"/>
        <w:bidi w:val="0"/>
        <w:spacing w:before="0" w:after="115"/>
        <w:jc w:val="left"/>
        <w:rPr/>
      </w:pPr>
      <w:r>
        <w:rPr/>
        <w:t xml:space="preserve">Historical Background </w:t>
      </w:r>
    </w:p>
    <w:p>
      <w:pPr>
        <w:pStyle w:val="Normal"/>
        <w:bidi w:val="0"/>
        <w:jc w:val="left"/>
        <w:rPr>
          <w:b w:val="false"/>
          <w:bCs w:val="false"/>
        </w:rPr>
      </w:pPr>
      <w:r>
        <w:rPr>
          <w:b w:val="false"/>
          <w:bCs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
        <w:bidi w:val="0"/>
        <w:jc w:val="left"/>
        <w:rPr>
          <w:b/>
        </w:rPr>
      </w:pPr>
      <w:r>
        <w:rPr>
          <w:b/>
        </w:rPr>
      </w:r>
    </w:p>
    <w:p>
      <w:pPr>
        <w:pStyle w:val="Heading3"/>
        <w:bidi w:val="0"/>
        <w:spacing w:before="0" w:after="115"/>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briefly abandoned its gold standard in unusual situations (Civil war, World War 1, etc). Russia's central bank has steadily increased gold reserves since 2009 to over 2,330 metric tons. China has consistently increased gold reserves since 2009 to over 2,264 metric tons.</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token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94830" cy="150431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4"/>
                    <a:stretch>
                      <a:fillRect/>
                    </a:stretch>
                  </pic:blipFill>
                  <pic:spPr bwMode="auto">
                    <a:xfrm>
                      <a:off x="0" y="0"/>
                      <a:ext cx="6894830" cy="1504315"/>
                    </a:xfrm>
                    <a:prstGeom prst="rect">
                      <a:avLst/>
                    </a:prstGeom>
                  </pic:spPr>
                </pic:pic>
              </a:graphicData>
            </a:graphic>
          </wp:anchor>
        </w:drawing>
      </w:r>
      <w:r>
        <w:rPr>
          <w:b/>
        </w:rPr>
        <w:br/>
        <w:t>Interest Payments</w:t>
      </w:r>
    </w:p>
    <w:p>
      <w:pPr>
        <w:pStyle w:val="Normal"/>
        <w:bidi w:val="0"/>
        <w:jc w:val="left"/>
        <w:rPr/>
      </w:pPr>
      <w:r>
        <w:rPr/>
        <w:t xml:space="preserve">The current rate of increase in </w:t>
      </w:r>
      <w:hyperlink r:id="rId15">
        <w:r>
          <w:rPr>
            <w:rStyle w:val="Hyperlink"/>
          </w:rPr>
          <w:t>Federal debt interest payments</w:t>
        </w:r>
      </w:hyperlink>
      <w:r>
        <w:rPr/>
        <w:t xml:space="preserve"> is unsustainable.</w:t>
      </w:r>
    </w:p>
    <w:p>
      <w:pPr>
        <w:pStyle w:val="Normal"/>
        <w:bidi w:val="0"/>
        <w:jc w:val="left"/>
        <w:rPr/>
      </w:pPr>
      <w:r>
        <w:rPr/>
      </w:r>
    </w:p>
    <w:p>
      <w:pPr>
        <w:pStyle w:val="Normal"/>
        <w:bidi w:val="0"/>
        <w:jc w:val="left"/>
        <w:rPr>
          <w:b/>
        </w:rPr>
      </w:pPr>
      <w:r>
        <w:rPr>
          <w:b/>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94830" cy="31292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6"/>
                    <a:stretch>
                      <a:fillRect/>
                    </a:stretch>
                  </pic:blipFill>
                  <pic:spPr bwMode="auto">
                    <a:xfrm>
                      <a:off x="0" y="0"/>
                      <a:ext cx="6894830" cy="3129280"/>
                    </a:xfrm>
                    <a:prstGeom prst="rect">
                      <a:avLst/>
                    </a:prstGeom>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94830" cy="3753485"/>
            <wp:effectExtent l="0" t="0" r="0" b="0"/>
            <wp:wrapSquare wrapText="largest"/>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embed="rId17"/>
                    <a:stretch>
                      <a:fillRect/>
                    </a:stretch>
                  </pic:blipFill>
                  <pic:spPr bwMode="auto">
                    <a:xfrm>
                      <a:off x="0" y="0"/>
                      <a:ext cx="6894830" cy="3753485"/>
                    </a:xfrm>
                    <a:prstGeom prst="rect">
                      <a:avLst/>
                    </a:prstGeom>
                  </pic:spPr>
                </pic:pic>
              </a:graphicData>
            </a:graphic>
          </wp:anchor>
        </w:drawing>
      </w:r>
      <w:r>
        <w:rPr>
          <w:b/>
        </w:rPr>
        <w:t>De-dollarization</w:t>
      </w:r>
    </w:p>
    <w:p>
      <w:pPr>
        <w:pStyle w:val="Normal"/>
        <w:bidi w:val="0"/>
        <w:jc w:val="left"/>
        <w:rPr/>
      </w:pPr>
      <w:r>
        <w:rPr/>
        <w:t>The BRICS coalition will use their oligopoly power to control commodity prices and bypass the US Dollar. BRICS  control 50% of the world's food supply, 70% of the microchip supply (China + Taiwan) and almost 50% of world oil reserves.  As of Oct, 2024, 13 more countries joined BRICS as limited partners.</w:t>
      </w:r>
    </w:p>
    <w:p>
      <w:pPr>
        <w:pStyle w:val="Normal"/>
        <w:bidi w:val="0"/>
        <w:jc w:val="left"/>
        <w:rPr/>
      </w:pPr>
      <w:r>
        <w:rPr/>
      </w:r>
    </w:p>
    <w:p>
      <w:pPr>
        <w:pStyle w:val="Normal"/>
        <w:bidi w:val="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672580" cy="3571875"/>
            <wp:effectExtent l="0" t="0" r="0" b="0"/>
            <wp:wrapSquare wrapText="largest"/>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18"/>
                    <a:stretch>
                      <a:fillRect/>
                    </a:stretch>
                  </pic:blipFill>
                  <pic:spPr bwMode="auto">
                    <a:xfrm>
                      <a:off x="0" y="0"/>
                      <a:ext cx="6672580" cy="3571875"/>
                    </a:xfrm>
                    <a:prstGeom prst="rect">
                      <a:avLst/>
                    </a:prstGeom>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9">
        <w:r>
          <w:rPr>
            <w:rStyle w:val="Hyperlink"/>
          </w:rPr>
          <w:t>political and economic movement</w:t>
        </w:r>
      </w:hyperlink>
      <w:r>
        <w:rPr/>
        <w:t xml:space="preserve"> that advocates for a stable, reliable currency and believes central banks should not manipulate currency for political gain and that a gold or silver standard would provide greater stability. The movement supports precious metal legislation in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depository</w:t>
      </w:r>
    </w:p>
    <w:p>
      <w:pPr>
        <w:pStyle w:val="Normal"/>
        <w:numPr>
          <w:ilvl w:val="0"/>
          <w:numId w:val="1"/>
        </w:numPr>
        <w:bidi w:val="0"/>
        <w:jc w:val="left"/>
        <w:rPr/>
      </w:pPr>
      <w:r>
        <w:rPr/>
        <w:t>Create a SDT token backed by the depository</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496050" cy="337248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20"/>
                    <a:stretch>
                      <a:fillRect/>
                    </a:stretch>
                  </pic:blipFill>
                  <pic:spPr bwMode="auto">
                    <a:xfrm>
                      <a:off x="0" y="0"/>
                      <a:ext cx="6496050" cy="3372485"/>
                    </a:xfrm>
                    <a:prstGeom prst="rect">
                      <a:avLst/>
                    </a:prstGeom>
                  </pic:spPr>
                </pic:pic>
              </a:graphicData>
            </a:graphic>
          </wp:anchor>
        </w:drawing>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t>Depository Legislation:</w:t>
      </w:r>
    </w:p>
    <w:p>
      <w:pPr>
        <w:pStyle w:val="Normal"/>
        <w:bidi w:val="0"/>
        <w:jc w:val="left"/>
        <w:rPr/>
      </w:pPr>
      <w:hyperlink r:id="rId21">
        <w:r>
          <w:rPr>
            <w:rStyle w:val="Hyperlink"/>
            <w:b/>
          </w:rPr>
          <w:t>Texas Bullion Depository Bill</w:t>
        </w:r>
      </w:hyperlink>
      <w:r>
        <w:rPr/>
        <w:t xml:space="preserve"> - Signed into law in 2015 to create a State bullion depository.</w:t>
      </w:r>
    </w:p>
    <w:p>
      <w:pPr>
        <w:pStyle w:val="Normal"/>
        <w:bidi w:val="0"/>
        <w:jc w:val="left"/>
        <w:rPr/>
      </w:pPr>
      <w:hyperlink r:id="rId22">
        <w:r>
          <w:rPr>
            <w:rStyle w:val="Hyperlink"/>
            <w:b/>
          </w:rPr>
          <w:t>2023: Tennessee Bullion Depository Act</w:t>
        </w:r>
      </w:hyperlink>
      <w:r>
        <w:rPr>
          <w:rStyle w:val="Hyperlink"/>
          <w:b/>
        </w:rPr>
        <w:t xml:space="preserve"> SB 150</w:t>
      </w:r>
      <w:r>
        <w:rPr/>
        <w:t xml:space="preserve"> - Establish a precious metals depository.</w:t>
      </w:r>
    </w:p>
    <w:p>
      <w:pPr>
        <w:pStyle w:val="Normal"/>
        <w:bidi w:val="0"/>
        <w:jc w:val="left"/>
        <w:rPr/>
      </w:pPr>
      <w:hyperlink r:id="rId23">
        <w:r>
          <w:rPr>
            <w:rStyle w:val="Hyperlink"/>
            <w:b/>
          </w:rPr>
          <w:t>2023: Mississippi SB 2966</w:t>
        </w:r>
      </w:hyperlink>
      <w:r>
        <w:rPr/>
        <w:t xml:space="preserve"> - Establish the Mississippi bullion depository</w:t>
      </w:r>
    </w:p>
    <w:p>
      <w:pPr>
        <w:pStyle w:val="Normal"/>
        <w:bidi w:val="0"/>
        <w:jc w:val="left"/>
        <w:rPr/>
      </w:pPr>
      <w:hyperlink r:id="rId24">
        <w:r>
          <w:rPr>
            <w:rStyle w:val="Hyperlink"/>
            <w:b/>
          </w:rPr>
          <w:t>2023: Missouri HB 718</w:t>
        </w:r>
      </w:hyperlink>
      <w:r>
        <w:rPr/>
        <w:t xml:space="preserve"> - Create the “Missouri Bullion Depository.”</w:t>
      </w:r>
    </w:p>
    <w:p>
      <w:pPr>
        <w:pStyle w:val="Normal"/>
        <w:bidi w:val="0"/>
        <w:jc w:val="left"/>
        <w:rPr/>
      </w:pPr>
      <w:hyperlink r:id="rId25">
        <w:r>
          <w:rPr>
            <w:rStyle w:val="Hyperlink"/>
            <w:b/>
          </w:rPr>
          <w:t>2023: North Carolina H 721</w:t>
        </w:r>
      </w:hyperlink>
      <w:r>
        <w:rPr/>
        <w:t xml:space="preserve"> - State Precious Metals Depository Study</w:t>
      </w:r>
    </w:p>
    <w:p>
      <w:pPr>
        <w:pStyle w:val="Normal"/>
        <w:bidi w:val="0"/>
        <w:jc w:val="left"/>
        <w:rPr/>
      </w:pPr>
      <w:hyperlink r:id="rId26">
        <w:r>
          <w:rPr>
            <w:rStyle w:val="Hyperlink"/>
            <w:b/>
          </w:rPr>
          <w:t>2023: Idaho H 0180</w:t>
        </w:r>
      </w:hyperlink>
      <w:r>
        <w:rPr/>
        <w:t xml:space="preserve"> - Invest in precious metals held in a secure depository</w:t>
      </w:r>
    </w:p>
    <w:p>
      <w:pPr>
        <w:pStyle w:val="Normal"/>
        <w:bidi w:val="0"/>
        <w:jc w:val="left"/>
        <w:rPr/>
      </w:pPr>
      <w:hyperlink r:id="rId27">
        <w:r>
          <w:rPr>
            <w:rStyle w:val="Hyperlink"/>
            <w:b/>
          </w:rPr>
          <w:t>2023: Oklahoma SB 816</w:t>
        </w:r>
      </w:hyperlink>
      <w:r>
        <w:rPr/>
        <w:t xml:space="preserve"> - Establish a State Treasury Depository</w:t>
      </w:r>
    </w:p>
    <w:p>
      <w:pPr>
        <w:pStyle w:val="Normal"/>
        <w:bidi w:val="0"/>
        <w:jc w:val="left"/>
        <w:rPr/>
      </w:pPr>
      <w:hyperlink r:id="rId28">
        <w:r>
          <w:rPr>
            <w:rStyle w:val="Hyperlink"/>
            <w:b/>
          </w:rPr>
          <w:t>2023: Montana HB 0884</w:t>
        </w:r>
      </w:hyperlink>
      <w:r>
        <w:rPr/>
        <w:t xml:space="preserve"> - Department of Revenue authorizes a media of exchange using gold</w:t>
      </w:r>
    </w:p>
    <w:p>
      <w:pPr>
        <w:pStyle w:val="Normal"/>
        <w:bidi w:val="0"/>
        <w:jc w:val="left"/>
        <w:rPr/>
      </w:pPr>
      <w:hyperlink r:id="rId29">
        <w:r>
          <w:rPr>
            <w:rStyle w:val="Hyperlink"/>
            <w:b/>
            <w:bCs/>
          </w:rPr>
          <w:t xml:space="preserve">2024: Florida H 697 </w:t>
        </w:r>
      </w:hyperlink>
      <w:r>
        <w:rPr/>
        <w:t>- State Legal Tender and Bullion Depository</w:t>
      </w:r>
    </w:p>
    <w:p>
      <w:pPr>
        <w:pStyle w:val="Normal"/>
        <w:bidi w:val="0"/>
        <w:jc w:val="left"/>
        <w:rPr/>
      </w:pPr>
      <w:hyperlink r:id="rId30">
        <w:r>
          <w:rPr>
            <w:rStyle w:val="Hyperlink"/>
            <w:b/>
            <w:bCs/>
          </w:rPr>
          <w:t>2024: Louisiana SB 485</w:t>
        </w:r>
      </w:hyperlink>
      <w:r>
        <w:rPr>
          <w:b/>
          <w:bCs/>
        </w:rPr>
        <w:t xml:space="preserve"> </w:t>
      </w:r>
      <w:r>
        <w:rPr/>
        <w:t>- Management of the Louisiana Gold and Silver token Platform</w:t>
      </w:r>
    </w:p>
    <w:p>
      <w:pPr>
        <w:pStyle w:val="Normal"/>
        <w:bidi w:val="0"/>
        <w:jc w:val="left"/>
        <w:rPr/>
      </w:pPr>
      <w:hyperlink r:id="rId31">
        <w:r>
          <w:rPr>
            <w:rStyle w:val="Hyperlink"/>
            <w:b/>
            <w:bCs/>
          </w:rPr>
          <w:t>2024: West Virginia SB 749</w:t>
        </w:r>
      </w:hyperlink>
      <w:r>
        <w:rPr/>
        <w:t xml:space="preserve"> - Establish the West Virginia Bullion Depository</w:t>
      </w:r>
    </w:p>
    <w:p>
      <w:pPr>
        <w:pStyle w:val="Normal"/>
        <w:bidi w:val="0"/>
        <w:jc w:val="left"/>
        <w:rPr/>
      </w:pPr>
      <w:hyperlink r:id="rId32">
        <w:r>
          <w:rPr>
            <w:rStyle w:val="Hyperlink"/>
            <w:b/>
            <w:bCs/>
          </w:rPr>
          <w:t>2024: Arizona SB 1633</w:t>
        </w:r>
      </w:hyperlink>
      <w:r>
        <w:rPr/>
        <w:t xml:space="preserve"> - Establish Bullion Depository and Gold-Backed token</w:t>
      </w:r>
    </w:p>
    <w:p>
      <w:pPr>
        <w:pStyle w:val="Normal"/>
        <w:bidi w:val="0"/>
        <w:jc w:val="left"/>
        <w:rPr/>
      </w:pPr>
      <w:hyperlink r:id="rId33">
        <w:r>
          <w:rPr>
            <w:rStyle w:val="Hyperlink"/>
            <w:b/>
            <w:bCs/>
          </w:rPr>
          <w:t>2024: Kansas HB 2729</w:t>
        </w:r>
      </w:hyperlink>
      <w:r>
        <w:rPr>
          <w:b/>
          <w:bCs/>
        </w:rPr>
        <w:t xml:space="preserve"> </w:t>
      </w:r>
      <w:r>
        <w:rPr/>
        <w:t xml:space="preserve"> - Enacting the Kansas bullion depository act;</w:t>
      </w:r>
    </w:p>
    <w:p>
      <w:pPr>
        <w:pStyle w:val="Normal"/>
        <w:bidi w:val="0"/>
        <w:jc w:val="left"/>
        <w:rPr/>
      </w:pPr>
      <w:hyperlink r:id="rId34">
        <w:r>
          <w:rPr>
            <w:rStyle w:val="Hyperlink"/>
            <w:b/>
            <w:bCs/>
          </w:rPr>
          <w:t>2024: Iowa HF 2228</w:t>
        </w:r>
      </w:hyperlink>
      <w:r>
        <w:rPr>
          <w:b/>
          <w:bCs/>
        </w:rPr>
        <w:t xml:space="preserve"> </w:t>
      </w:r>
      <w:r>
        <w:rPr>
          <w:b w:val="false"/>
          <w:bCs w:val="false"/>
        </w:rPr>
        <w:t>- Establishment of a token based on gold and held in a bullion depository</w:t>
      </w:r>
    </w:p>
    <w:p>
      <w:pPr>
        <w:pStyle w:val="Normal"/>
        <w:bidi w:val="0"/>
        <w:jc w:val="left"/>
        <w:rPr/>
      </w:pPr>
      <w:hyperlink r:id="rId35">
        <w:r>
          <w:rPr>
            <w:rStyle w:val="Hyperlink"/>
            <w:b/>
            <w:bCs/>
          </w:rPr>
          <w:t xml:space="preserve">2024: New Hampshire H 1674 </w:t>
        </w:r>
      </w:hyperlink>
      <w:r>
        <w:rPr>
          <w:b w:val="false"/>
          <w:bCs w:val="false"/>
        </w:rPr>
        <w:t>- Establishes a state depository</w:t>
      </w:r>
    </w:p>
    <w:p>
      <w:pPr>
        <w:pStyle w:val="Normal"/>
        <w:bidi w:val="0"/>
        <w:jc w:val="left"/>
        <w:rPr/>
      </w:pPr>
      <w:hyperlink r:id="rId36">
        <w:r>
          <w:rPr>
            <w:rStyle w:val="Hyperlink"/>
            <w:rFonts w:ascii="times new roman" w:hAnsi="times new roman"/>
            <w:b/>
            <w:bCs/>
            <w:i w:val="false"/>
            <w:caps w:val="false"/>
            <w:smallCaps w:val="false"/>
            <w:sz w:val="26"/>
          </w:rPr>
          <w:t xml:space="preserve">2024: Utah HB 348 </w:t>
        </w:r>
      </w:hyperlink>
      <w:r>
        <w:rPr>
          <w:rFonts w:ascii="times new roman" w:hAnsi="times new roman"/>
          <w:b w:val="false"/>
          <w:bCs w:val="false"/>
          <w:i w:val="false"/>
          <w:caps w:val="false"/>
          <w:smallCaps w:val="false"/>
          <w:sz w:val="26"/>
        </w:rPr>
        <w:t>- Protect state funds with physical gold and silver</w:t>
      </w:r>
    </w:p>
    <w:p>
      <w:pPr>
        <w:pStyle w:val="Normal"/>
        <w:bidi w:val="0"/>
        <w:jc w:val="left"/>
        <w:rPr>
          <w:rFonts w:ascii="times new roman" w:hAnsi="times new roman"/>
          <w:b w:val="false"/>
          <w:bCs w:val="false"/>
          <w:i w:val="false"/>
          <w:i w:val="false"/>
          <w:caps w:val="false"/>
          <w:smallCaps w:val="false"/>
          <w:sz w:val="26"/>
        </w:rPr>
      </w:pPr>
      <w:r>
        <w:rPr>
          <w:rFonts w:ascii="times new roman" w:hAnsi="times new roman"/>
          <w:b w:val="false"/>
          <w:bCs w:val="false"/>
          <w:i w:val="false"/>
          <w:caps w:val="false"/>
          <w:smallCaps w:val="false"/>
          <w:sz w:val="26"/>
        </w:rPr>
      </w:r>
    </w:p>
    <w:p>
      <w:pPr>
        <w:pStyle w:val="Heading3"/>
        <w:rPr/>
      </w:pPr>
      <w:r>
        <w:rPr/>
        <w:t>Digital Token Legislation:</w:t>
      </w:r>
    </w:p>
    <w:p>
      <w:pPr>
        <w:pStyle w:val="Normal"/>
        <w:bidi w:val="0"/>
        <w:jc w:val="left"/>
        <w:rPr/>
      </w:pPr>
      <w:hyperlink r:id="rId37">
        <w:r>
          <w:rPr>
            <w:rStyle w:val="Hyperlink"/>
            <w:rFonts w:ascii="times new roman" w:hAnsi="times new roman"/>
            <w:b/>
            <w:bCs/>
            <w:i w:val="false"/>
            <w:caps w:val="false"/>
            <w:smallCaps w:val="false"/>
            <w:sz w:val="26"/>
          </w:rPr>
          <w:t xml:space="preserve">2023: Wyoming SF 0127 </w:t>
        </w:r>
      </w:hyperlink>
      <w:r>
        <w:rPr>
          <w:rFonts w:ascii="times new roman" w:hAnsi="times new roman"/>
          <w:b w:val="false"/>
          <w:bCs w:val="false"/>
          <w:i w:val="false"/>
          <w:caps w:val="false"/>
          <w:smallCaps w:val="false"/>
          <w:sz w:val="26"/>
        </w:rPr>
        <w:t>- Wyoming Stable Token Act.</w:t>
      </w:r>
    </w:p>
    <w:p>
      <w:pPr>
        <w:pStyle w:val="Normal"/>
        <w:bidi w:val="0"/>
        <w:jc w:val="left"/>
        <w:rPr/>
      </w:pPr>
      <w:hyperlink r:id="rId38">
        <w:r>
          <w:rPr>
            <w:rStyle w:val="Hyperlink"/>
            <w:rFonts w:ascii="times new roman" w:hAnsi="times new roman"/>
            <w:b/>
            <w:bCs/>
            <w:i w:val="false"/>
            <w:caps w:val="false"/>
            <w:smallCaps w:val="false"/>
            <w:sz w:val="26"/>
          </w:rPr>
          <w:t xml:space="preserve">2024: New Jersey AB 385 </w:t>
        </w:r>
      </w:hyperlink>
      <w:r>
        <w:rPr>
          <w:rFonts w:ascii="times new roman" w:hAnsi="times new roman"/>
          <w:b w:val="false"/>
          <w:bCs w:val="false"/>
          <w:i w:val="false"/>
          <w:caps w:val="false"/>
          <w:smallCaps w:val="false"/>
          <w:sz w:val="26"/>
        </w:rPr>
        <w:t>- Review/approve a blockchain digital payment platform</w:t>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an SDT would work. </w:t>
      </w:r>
    </w:p>
    <w:p>
      <w:pPr>
        <w:pStyle w:val="Normal"/>
        <w:bidi w:val="0"/>
        <w:jc w:val="left"/>
        <w:rPr/>
      </w:pPr>
      <w:r>
        <w:rPr/>
      </w:r>
    </w:p>
    <w:p>
      <w:pPr>
        <w:sectPr>
          <w:type w:val="nextPage"/>
          <w:pgSz w:w="12240" w:h="15840"/>
          <w:pgMar w:left="691" w:right="691" w:gutter="0" w:header="0" w:top="461" w:footer="0" w:bottom="461"/>
          <w:pgNumType w:fmt="decimal"/>
          <w:formProt w:val="false"/>
          <w:textDirection w:val="lrTb"/>
          <w:docGrid w:type="default" w:linePitch="600" w:charSpace="32768"/>
        </w:sectPr>
      </w:pPr>
    </w:p>
    <w:p>
      <w:pPr>
        <w:pStyle w:val="Normal"/>
        <w:bidi w:val="0"/>
        <w:jc w:val="left"/>
        <w:rPr/>
      </w:pPr>
      <w:r>
        <w:rPr>
          <w:b/>
        </w:rPr>
        <w:t>Depository</w:t>
      </w:r>
      <w:r>
        <w:rPr/>
        <w:t>: stores gold deposits/currency.</w:t>
        <w:br/>
      </w:r>
      <w:r>
        <w:rPr>
          <w:b/>
        </w:rPr>
        <w:t>Inventory System</w:t>
      </w:r>
      <w:r>
        <w:rPr/>
        <w:t>: manages deposits</w:t>
        <w:br/>
      </w:r>
      <w:r>
        <w:rPr>
          <w:b/>
        </w:rPr>
        <w:t>Token Manager</w:t>
      </w:r>
      <w:r>
        <w:rPr/>
        <w:t>: manages transactions</w:t>
        <w:br/>
      </w:r>
      <w:r>
        <w:rPr>
          <w:b/>
        </w:rPr>
        <w:t>Blockchain</w:t>
      </w:r>
      <w:r>
        <w:rPr/>
        <w:t>: equivalent to accounting ledger</w:t>
        <w:br/>
      </w:r>
      <w:r>
        <w:rPr>
          <w:b/>
        </w:rPr>
        <w:t>Key Manager</w:t>
      </w:r>
      <w:r>
        <w:rPr/>
        <w:t>: safety deposit box keys</w:t>
        <w:br/>
      </w:r>
      <w:r>
        <w:rPr>
          <w:b/>
        </w:rPr>
        <w:t>Client</w:t>
      </w:r>
      <w:r>
        <w:rPr/>
        <w:t>: Customer with assets in depository</w:t>
      </w:r>
    </w:p>
    <w:p>
      <w:pPr>
        <w:sectPr>
          <w:type w:val="continuous"/>
          <w:pgSz w:w="12240" w:h="15840"/>
          <w:pgMar w:left="691" w:right="691" w:gutter="0" w:header="0" w:top="461" w:footer="0" w:bottom="461"/>
          <w:cols w:num="2" w:space="0" w:equalWidth="true" w:sep="false"/>
          <w:formProt w:val="false"/>
          <w:textDirection w:val="lrTb"/>
          <w:docGrid w:type="default" w:linePitch="600" w:charSpace="32768"/>
        </w:sectPr>
      </w:pPr>
    </w:p>
    <w:p>
      <w:pPr>
        <w:pStyle w:val="Normal"/>
        <w:bidi w:val="0"/>
        <w:jc w:val="left"/>
        <w:rPr/>
      </w:pPr>
      <w:r>
        <w:rPr/>
      </w:r>
    </w:p>
    <w:p>
      <w:pPr>
        <w:pStyle w:val="Heading3"/>
        <w:spacing w:before="0" w:after="115"/>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94830" cy="364871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39"/>
                    <a:stretch>
                      <a:fillRect/>
                    </a:stretch>
                  </pic:blipFill>
                  <pic:spPr bwMode="auto">
                    <a:xfrm>
                      <a:off x="0" y="0"/>
                      <a:ext cx="6894830" cy="3648710"/>
                    </a:xfrm>
                    <a:prstGeom prst="rect">
                      <a:avLst/>
                    </a:prstGeom>
                  </pic:spPr>
                </pic:pic>
              </a:graphicData>
            </a:graphic>
          </wp:anchor>
        </w:drawing>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message to token API</w:t>
      </w:r>
    </w:p>
    <w:p>
      <w:pPr>
        <w:pStyle w:val="Normal"/>
        <w:bidi w:val="0"/>
        <w:jc w:val="left"/>
        <w:rPr/>
      </w:pPr>
      <w:r>
        <w:rPr/>
      </w:r>
    </w:p>
    <w:p>
      <w:pPr>
        <w:pStyle w:val="BodyText"/>
        <w:bidi w:val="0"/>
        <w:spacing w:lineRule="auto" w:line="4" w:before="0" w:after="140"/>
        <w:jc w:val="left"/>
        <w:rPr/>
      </w:pPr>
      <w:r>
        <w:rPr>
          <w:rStyle w:val="SourceText"/>
        </w:rPr>
        <w:t xml:space="preserve">{  </w:t>
      </w:r>
    </w:p>
    <w:p>
      <w:pPr>
        <w:pStyle w:val="BodyText"/>
        <w:bidi w:val="0"/>
        <w:spacing w:lineRule="auto" w:line="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4" w:before="0" w:after="140"/>
        <w:jc w:val="left"/>
        <w:rPr/>
      </w:pPr>
      <w:r>
        <w:rPr>
          <w:rStyle w:val="SourceText"/>
          <w:rFonts w:ascii="Monaco;monospace" w:hAnsi="Monaco;monospace"/>
          <w:b w:val="false"/>
          <w:i w:val="false"/>
          <w:caps w:val="false"/>
          <w:smallCaps w:val="false"/>
          <w:sz w:val="24"/>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4"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4" w:before="0" w:after="140"/>
        <w:jc w:val="left"/>
        <w:rPr/>
      </w:pPr>
      <w:r>
        <w:rPr>
          <w:rStyle w:val="SourceText"/>
        </w:rPr>
        <w:t xml:space="preserve">}  </w:t>
      </w:r>
    </w:p>
    <w:p>
      <w:pPr>
        <w:pStyle w:val="Normal"/>
        <w:bidi w:val="0"/>
        <w:spacing w:lineRule="auto" w:line="4"/>
        <w:jc w:val="left"/>
        <w:rPr/>
      </w:pPr>
      <w:r>
        <w:rPr/>
      </w:r>
    </w:p>
    <w:p>
      <w:pPr>
        <w:pStyle w:val="ListParagraph"/>
        <w:numPr>
          <w:ilvl w:val="0"/>
          <w:numId w:val="0"/>
        </w:numPr>
        <w:bidi w:val="0"/>
        <w:spacing w:lineRule="auto" w:line="4"/>
        <w:ind w:hanging="0" w:left="0"/>
        <w:jc w:val="left"/>
        <w:rPr/>
      </w:pPr>
      <w:r>
        <w:rPr/>
        <w:t>2. Token Manaager forwards message to Key Manager.</w:t>
      </w:r>
    </w:p>
    <w:p>
      <w:pPr>
        <w:pStyle w:val="ListParagraph"/>
        <w:numPr>
          <w:ilvl w:val="0"/>
          <w:numId w:val="0"/>
        </w:numPr>
        <w:bidi w:val="0"/>
        <w:spacing w:lineRule="auto" w:line="4"/>
        <w:ind w:hanging="0" w:left="0"/>
        <w:jc w:val="left"/>
        <w:rPr/>
      </w:pPr>
      <w:r>
        <w:rPr/>
      </w:r>
    </w:p>
    <w:p>
      <w:pPr>
        <w:pStyle w:val="ListParagraph"/>
        <w:numPr>
          <w:ilvl w:val="0"/>
          <w:numId w:val="0"/>
        </w:numPr>
        <w:bidi w:val="0"/>
        <w:spacing w:lineRule="auto" w:line="4"/>
        <w:ind w:hanging="0" w:left="0"/>
        <w:jc w:val="left"/>
        <w:rPr/>
      </w:pPr>
      <w:r>
        <w:rPr/>
        <w:t>3. Key Manager verifies the payer, payee and payer’s balance.</w:t>
      </w:r>
    </w:p>
    <w:p>
      <w:pPr>
        <w:pStyle w:val="ListParagraph"/>
        <w:numPr>
          <w:ilvl w:val="0"/>
          <w:numId w:val="0"/>
        </w:numPr>
        <w:bidi w:val="0"/>
        <w:spacing w:lineRule="auto" w:line="4"/>
        <w:ind w:hanging="0" w:left="0"/>
        <w:jc w:val="left"/>
        <w:rPr/>
      </w:pPr>
      <w:r>
        <w:rPr/>
      </w:r>
    </w:p>
    <w:p>
      <w:pPr>
        <w:pStyle w:val="ListParagraph"/>
        <w:numPr>
          <w:ilvl w:val="0"/>
          <w:numId w:val="0"/>
        </w:numPr>
        <w:bidi w:val="0"/>
        <w:spacing w:lineRule="auto" w:line="4"/>
        <w:ind w:hanging="0" w:left="0"/>
        <w:jc w:val="left"/>
        <w:rPr/>
      </w:pPr>
      <w:r>
        <w:rPr/>
        <w:t>4. Key Manager creates blockchain entry and sends result to token.</w:t>
      </w:r>
    </w:p>
    <w:p>
      <w:pPr>
        <w:pStyle w:val="ListParagraph"/>
        <w:numPr>
          <w:ilvl w:val="0"/>
          <w:numId w:val="0"/>
        </w:numPr>
        <w:bidi w:val="0"/>
        <w:spacing w:lineRule="auto" w:line="4"/>
        <w:ind w:hanging="0" w:left="0"/>
        <w:jc w:val="left"/>
        <w:rPr/>
      </w:pPr>
      <w:r>
        <w:rPr/>
      </w:r>
    </w:p>
    <w:p>
      <w:pPr>
        <w:pStyle w:val="ListParagraph"/>
        <w:numPr>
          <w:ilvl w:val="0"/>
          <w:numId w:val="0"/>
        </w:numPr>
        <w:bidi w:val="0"/>
        <w:spacing w:lineRule="auto" w:line="4"/>
        <w:ind w:hanging="0" w:left="0"/>
        <w:jc w:val="left"/>
        <w:rPr/>
      </w:pPr>
      <w:r>
        <w:rPr/>
        <w:t>5. Token Manager sends result to client.</w:t>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40">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SDT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534150" cy="390525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41"/>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42">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bCs w:val="false"/>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SDTs and interoperate with other depositories.</w:t>
      </w:r>
    </w:p>
    <w:p>
      <w:pPr>
        <w:pStyle w:val="Normal"/>
        <w:rPr/>
      </w:pPr>
      <w:r>
        <w:rPr/>
      </w:r>
    </w:p>
    <w:p>
      <w:pPr>
        <w:pStyle w:val="Normal"/>
        <w:rPr/>
      </w:pPr>
      <w:r>
        <w:rPr>
          <w:rStyle w:val="Strong"/>
        </w:rPr>
        <w:t xml:space="preserve">4) Savings Institutions </w:t>
      </w:r>
      <w:r>
        <w:rPr/>
        <w:t>- provide funding to use STDs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SDTs and arbitraging by  investors.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836410" cy="21463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43"/>
                    <a:stretch>
                      <a:fillRect/>
                    </a:stretch>
                  </pic:blipFill>
                  <pic:spPr bwMode="auto">
                    <a:xfrm>
                      <a:off x="0" y="0"/>
                      <a:ext cx="6836410" cy="2146300"/>
                    </a:xfrm>
                    <a:prstGeom prst="rect">
                      <a:avLst/>
                    </a:prstGeom>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894830" cy="189928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44"/>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45">
        <w:r>
          <w:rPr>
            <w:rStyle w:val="Hyperlink"/>
          </w:rPr>
          <w:t xml:space="preserve">small working software model of SXS </w:t>
        </w:r>
      </w:hyperlink>
      <w:r>
        <w:rPr/>
        <w:t>(</w:t>
      </w:r>
      <w:hyperlink r:id="rId46">
        <w:r>
          <w:rPr>
            <w:rStyle w:val="Hyperlink"/>
          </w:rPr>
          <w:t>https://github.com/broward/BRICS</w:t>
        </w:r>
      </w:hyperlink>
      <w:r>
        <w:rPr/>
        <w:t>)</w:t>
      </w:r>
    </w:p>
    <w:p>
      <w:pPr>
        <w:pStyle w:val="Normal"/>
        <w:bidi w:val="0"/>
        <w:jc w:val="left"/>
        <w:rPr/>
      </w:pPr>
      <w:hyperlink r:id="rId47">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48">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49">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50">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3"/>
        </w:numPr>
        <w:tabs>
          <w:tab w:val="clear" w:pos="709"/>
          <w:tab w:val="left" w:pos="0" w:leader="none"/>
        </w:tabs>
        <w:spacing w:before="0" w:after="0"/>
        <w:ind w:hanging="283" w:left="375" w:right="0"/>
        <w:rPr/>
      </w:pPr>
      <w:hyperlink r:id="rId51">
        <w:r>
          <w:rPr>
            <w:rStyle w:val="Hyperlink"/>
          </w:rPr>
          <w:t>Federal Highway 1992-96</w:t>
        </w:r>
      </w:hyperlink>
      <w:r>
        <w:rPr/>
        <w:t xml:space="preserve"> </w:t>
      </w:r>
      <w:r>
        <w:rPr>
          <w:color w:val="000000"/>
        </w:rPr>
        <w:t>- R&amp;D on early mobile systems</w:t>
      </w:r>
    </w:p>
    <w:p>
      <w:pPr>
        <w:pStyle w:val="BodyText"/>
        <w:numPr>
          <w:ilvl w:val="0"/>
          <w:numId w:val="3"/>
        </w:numPr>
        <w:tabs>
          <w:tab w:val="clear" w:pos="709"/>
          <w:tab w:val="left" w:pos="0" w:leader="none"/>
        </w:tabs>
        <w:spacing w:before="0" w:after="0"/>
        <w:ind w:hanging="283" w:left="375" w:right="0"/>
        <w:rPr/>
      </w:pPr>
      <w:hyperlink r:id="rId52">
        <w:r>
          <w:rPr>
            <w:rStyle w:val="Hyperlink"/>
          </w:rPr>
          <w:t>Saleslogix 1998-2000</w:t>
        </w:r>
      </w:hyperlink>
      <w:r>
        <w:rPr/>
        <w:t xml:space="preserve"> </w:t>
      </w:r>
      <w:r>
        <w:rPr>
          <w:color w:val="000000"/>
        </w:rPr>
        <w:t>- CRM startup, SDK and Salesforce competitor</w:t>
      </w:r>
    </w:p>
    <w:p>
      <w:pPr>
        <w:pStyle w:val="BodyText"/>
        <w:numPr>
          <w:ilvl w:val="0"/>
          <w:numId w:val="3"/>
        </w:numPr>
        <w:tabs>
          <w:tab w:val="clear" w:pos="709"/>
          <w:tab w:val="left" w:pos="0" w:leader="none"/>
        </w:tabs>
        <w:spacing w:before="0" w:after="0"/>
        <w:ind w:hanging="283" w:left="375" w:right="0"/>
        <w:rPr/>
      </w:pPr>
      <w:hyperlink r:id="rId53">
        <w:r>
          <w:rPr>
            <w:rStyle w:val="Hyperlink"/>
          </w:rPr>
          <w:t>Sunhill Software 2004</w:t>
        </w:r>
      </w:hyperlink>
      <w:r>
        <w:rPr>
          <w:color w:val="000000"/>
        </w:rPr>
        <w:t xml:space="preserve"> - supply chain logistics and KPI</w:t>
      </w:r>
    </w:p>
    <w:p>
      <w:pPr>
        <w:pStyle w:val="BodyText"/>
        <w:numPr>
          <w:ilvl w:val="0"/>
          <w:numId w:val="3"/>
        </w:numPr>
        <w:tabs>
          <w:tab w:val="clear" w:pos="709"/>
          <w:tab w:val="left" w:pos="0" w:leader="none"/>
        </w:tabs>
        <w:spacing w:before="0" w:after="0"/>
        <w:ind w:hanging="283" w:left="375" w:right="0"/>
        <w:rPr/>
      </w:pPr>
      <w:hyperlink r:id="rId54">
        <w:r>
          <w:rPr>
            <w:rStyle w:val="Hyperlink"/>
          </w:rPr>
          <w:t>Gloo 2013</w:t>
        </w:r>
      </w:hyperlink>
      <w:r>
        <w:rPr/>
        <w:t xml:space="preserve"> </w:t>
      </w:r>
      <w:r>
        <w:rPr>
          <w:color w:val="000000"/>
        </w:rPr>
        <w:t>- health &amp; wellness analytics</w:t>
      </w:r>
    </w:p>
    <w:p>
      <w:pPr>
        <w:pStyle w:val="BodyText"/>
        <w:numPr>
          <w:ilvl w:val="0"/>
          <w:numId w:val="3"/>
        </w:numPr>
        <w:tabs>
          <w:tab w:val="clear" w:pos="709"/>
          <w:tab w:val="left" w:pos="0" w:leader="none"/>
        </w:tabs>
        <w:spacing w:before="0" w:after="0"/>
        <w:ind w:hanging="283" w:left="375" w:right="0"/>
        <w:rPr/>
      </w:pPr>
      <w:hyperlink r:id="rId55">
        <w:r>
          <w:rPr>
            <w:rStyle w:val="Hyperlink"/>
          </w:rPr>
          <w:t>DLVR 2016-17</w:t>
        </w:r>
      </w:hyperlink>
      <w:r>
        <w:rPr/>
        <w:t xml:space="preserve"> </w:t>
      </w:r>
      <w:r>
        <w:rPr>
          <w:color w:val="000000"/>
        </w:rPr>
        <w:t>- video analytics</w:t>
      </w:r>
    </w:p>
    <w:p>
      <w:pPr>
        <w:pStyle w:val="BodyText"/>
        <w:numPr>
          <w:ilvl w:val="0"/>
          <w:numId w:val="3"/>
        </w:numPr>
        <w:tabs>
          <w:tab w:val="clear" w:pos="709"/>
          <w:tab w:val="left" w:pos="0" w:leader="none"/>
        </w:tabs>
        <w:spacing w:before="0" w:after="0"/>
        <w:ind w:hanging="283" w:left="375" w:right="0"/>
        <w:rPr/>
      </w:pPr>
      <w:hyperlink r:id="rId56">
        <w:r>
          <w:rPr>
            <w:rStyle w:val="Hyperlink"/>
          </w:rPr>
          <w:t>Sila 2018</w:t>
        </w:r>
      </w:hyperlink>
      <w:r>
        <w:rPr>
          <w:color w:val="000000"/>
        </w:rPr>
        <w:t xml:space="preserve"> - stablecoin SDK and toolkit</w:t>
      </w:r>
    </w:p>
    <w:p>
      <w:pPr>
        <w:pStyle w:val="BodyText"/>
        <w:numPr>
          <w:ilvl w:val="0"/>
          <w:numId w:val="3"/>
        </w:numPr>
        <w:tabs>
          <w:tab w:val="clear" w:pos="709"/>
          <w:tab w:val="left" w:pos="0" w:leader="none"/>
        </w:tabs>
        <w:ind w:hanging="283" w:left="375" w:right="0"/>
        <w:rPr/>
      </w:pPr>
      <w:hyperlink r:id="rId57">
        <w:r>
          <w:rPr>
            <w:rStyle w:val="Hyperlink"/>
          </w:rPr>
          <w:t>Ensomata 2022</w:t>
        </w:r>
      </w:hyperlink>
      <w:r>
        <w:rPr/>
        <w:t xml:space="preserve"> </w:t>
      </w:r>
      <w:r>
        <w:rPr>
          <w:color w:val="000000"/>
        </w:rPr>
        <w:t>- health care analytics</w:t>
      </w:r>
    </w:p>
    <w:p>
      <w:pPr>
        <w:pStyle w:val="Heading4"/>
        <w:bidi w:val="0"/>
        <w:jc w:val="left"/>
        <w:rPr/>
      </w:pPr>
      <w:r>
        <w:rPr>
          <w:b/>
        </w:rPr>
        <w:t>SDTs</w:t>
      </w:r>
    </w:p>
    <w:p>
      <w:pPr>
        <w:pStyle w:val="Normal"/>
        <w:bidi w:val="0"/>
        <w:ind w:hanging="0" w:left="0" w:right="0"/>
        <w:jc w:val="left"/>
        <w:rPr/>
      </w:pPr>
      <w:r>
        <w:rPr/>
        <w:t xml:space="preserve">Hands-on work with three tokens – the </w:t>
      </w:r>
      <w:hyperlink r:id="rId58">
        <w:r>
          <w:rPr>
            <w:rStyle w:val="Hyperlink"/>
          </w:rPr>
          <w:t>Digital Money Trust in 1994</w:t>
        </w:r>
      </w:hyperlink>
      <w:r>
        <w:rPr/>
        <w:t xml:space="preserve"> (a precursor to Bitcoin), an </w:t>
      </w:r>
      <w:hyperlink r:id="rId59">
        <w:r>
          <w:rPr>
            <w:rStyle w:val="Hyperlink"/>
          </w:rPr>
          <w:t>IoT token prototype in 2014</w:t>
        </w:r>
      </w:hyperlink>
      <w:r>
        <w:rPr/>
        <w:t xml:space="preserve"> and </w:t>
      </w:r>
      <w:hyperlink r:id="rId60">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61">
        <w:r>
          <w:rPr>
            <w:rStyle w:val="Hyperlink"/>
          </w:rPr>
          <w:t>Boeing</w:t>
        </w:r>
      </w:hyperlink>
      <w:r>
        <w:rPr/>
        <w:t xml:space="preserve"> (call center), </w:t>
      </w:r>
      <w:hyperlink r:id="rId62">
        <w:r>
          <w:rPr>
            <w:rStyle w:val="Hyperlink"/>
          </w:rPr>
          <w:t>Avnet</w:t>
        </w:r>
      </w:hyperlink>
      <w:r>
        <w:rPr/>
        <w:t xml:space="preserve"> (e-commerce), </w:t>
      </w:r>
      <w:hyperlink r:id="rId63">
        <w:r>
          <w:rPr>
            <w:rStyle w:val="Hyperlink"/>
          </w:rPr>
          <w:t>Aetna</w:t>
        </w:r>
      </w:hyperlink>
      <w:r>
        <w:rPr/>
        <w:t xml:space="preserve"> (case management), </w:t>
      </w:r>
      <w:hyperlink r:id="rId64">
        <w:r>
          <w:rPr>
            <w:rStyle w:val="Hyperlink"/>
          </w:rPr>
          <w:t>Amdocs</w:t>
        </w:r>
      </w:hyperlink>
      <w:r>
        <w:rPr/>
        <w:t xml:space="preserve"> (payment system), </w:t>
      </w:r>
      <w:hyperlink r:id="rId65">
        <w:r>
          <w:rPr>
            <w:rStyle w:val="Hyperlink"/>
          </w:rPr>
          <w:t>DLVR.com</w:t>
        </w:r>
      </w:hyperlink>
      <w:r>
        <w:rPr/>
        <w:t xml:space="preserve"> (video analytics), Verizon (ring tone sales), </w:t>
      </w:r>
      <w:hyperlink r:id="rId66">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67">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hyperlink r:id="rId68">
        <w:r>
          <w:rPr>
            <w:rStyle w:val="Hyperlink"/>
          </w:rPr>
          <w:t>Texas Depository, 2023</w:t>
        </w:r>
      </w:hyperlink>
      <w:r>
        <w:rPr/>
        <w:t xml:space="preserve"> </w:t>
      </w:r>
    </w:p>
    <w:p>
      <w:pPr>
        <w:pStyle w:val="ListParagraph"/>
        <w:numPr>
          <w:ilvl w:val="0"/>
          <w:numId w:val="0"/>
        </w:numPr>
        <w:ind w:hanging="0" w:left="420"/>
        <w:jc w:val="left"/>
        <w:rPr/>
      </w:pPr>
      <w:hyperlink r:id="rId69">
        <w:r>
          <w:rPr>
            <w:rStyle w:val="Hyperlink"/>
          </w:rPr>
          <w:t>BRICS Currency System 2023</w:t>
        </w:r>
      </w:hyperlink>
      <w:r>
        <w:rPr/>
        <w:t xml:space="preserve"> </w:t>
      </w:r>
    </w:p>
    <w:p>
      <w:pPr>
        <w:pStyle w:val="ListParagraph"/>
        <w:numPr>
          <w:ilvl w:val="0"/>
          <w:numId w:val="0"/>
        </w:numPr>
        <w:ind w:hanging="0" w:left="420"/>
        <w:jc w:val="left"/>
        <w:rPr/>
      </w:pPr>
      <w:hyperlink r:id="rId70">
        <w:r>
          <w:rPr>
            <w:rStyle w:val="Hyperlink"/>
          </w:rPr>
          <w:t>AWS App Design, 2023</w:t>
        </w:r>
      </w:hyperlink>
      <w:r>
        <w:rPr/>
        <w:t xml:space="preserve"> </w:t>
      </w:r>
    </w:p>
    <w:p>
      <w:pPr>
        <w:pStyle w:val="ListParagraph"/>
        <w:numPr>
          <w:ilvl w:val="0"/>
          <w:numId w:val="0"/>
        </w:numPr>
        <w:ind w:hanging="0" w:left="420"/>
        <w:jc w:val="left"/>
        <w:rPr/>
      </w:pPr>
      <w:hyperlink r:id="rId71">
        <w:r>
          <w:rPr>
            <w:rStyle w:val="Hyperlink"/>
          </w:rPr>
          <w:t>Stablecoin Hack, 2022</w:t>
        </w:r>
      </w:hyperlink>
      <w:r>
        <w:rPr/>
        <w:t xml:space="preserve"> </w:t>
      </w:r>
    </w:p>
    <w:p>
      <w:pPr>
        <w:pStyle w:val="ListParagraph"/>
        <w:numPr>
          <w:ilvl w:val="0"/>
          <w:numId w:val="0"/>
        </w:numPr>
        <w:ind w:hanging="0" w:left="420"/>
        <w:jc w:val="left"/>
        <w:rPr/>
      </w:pPr>
      <w:hyperlink r:id="rId72">
        <w:r>
          <w:rPr>
            <w:rStyle w:val="Hyperlink"/>
          </w:rPr>
          <w:t>Miner Bankruptcy, 2022</w:t>
        </w:r>
      </w:hyperlink>
      <w:r>
        <w:rPr/>
        <w:t xml:space="preserve"> </w:t>
      </w:r>
    </w:p>
    <w:p>
      <w:pPr>
        <w:pStyle w:val="ListParagraph"/>
        <w:numPr>
          <w:ilvl w:val="0"/>
          <w:numId w:val="0"/>
        </w:numPr>
        <w:ind w:hanging="0" w:left="420"/>
        <w:jc w:val="left"/>
        <w:rPr/>
      </w:pPr>
      <w:hyperlink r:id="rId73">
        <w:r>
          <w:rPr>
            <w:rStyle w:val="Hyperlink"/>
          </w:rPr>
          <w:t>Polymorphic API, 2022</w:t>
        </w:r>
      </w:hyperlink>
      <w:r>
        <w:rPr/>
        <w:t xml:space="preserve"> </w:t>
      </w:r>
    </w:p>
    <w:p>
      <w:pPr>
        <w:pStyle w:val="ListParagraph"/>
        <w:numPr>
          <w:ilvl w:val="0"/>
          <w:numId w:val="0"/>
        </w:numPr>
        <w:ind w:hanging="0" w:left="420"/>
        <w:jc w:val="left"/>
        <w:rPr/>
      </w:pPr>
      <w:hyperlink r:id="rId74">
        <w:r>
          <w:rPr>
            <w:rStyle w:val="Hyperlink"/>
          </w:rPr>
          <w:t>Crypto Platform, 2020</w:t>
        </w:r>
      </w:hyperlink>
      <w:r>
        <w:rPr/>
        <w:t xml:space="preserve"> </w:t>
      </w:r>
    </w:p>
    <w:p>
      <w:pPr>
        <w:pStyle w:val="ListParagraph"/>
        <w:numPr>
          <w:ilvl w:val="0"/>
          <w:numId w:val="0"/>
        </w:numPr>
        <w:ind w:hanging="0" w:left="420"/>
        <w:jc w:val="left"/>
        <w:rPr/>
      </w:pPr>
      <w:hyperlink r:id="rId75">
        <w:r>
          <w:rPr>
            <w:rStyle w:val="Hyperlink"/>
          </w:rPr>
          <w:t>Payment System, 2015</w:t>
        </w:r>
      </w:hyperlink>
      <w:r>
        <w:rPr/>
        <w:t xml:space="preserve"> </w:t>
      </w:r>
    </w:p>
    <w:p>
      <w:pPr>
        <w:pStyle w:val="ListParagraph"/>
        <w:numPr>
          <w:ilvl w:val="0"/>
          <w:numId w:val="0"/>
        </w:numPr>
        <w:ind w:hanging="0" w:left="420"/>
        <w:jc w:val="left"/>
        <w:rPr/>
      </w:pPr>
      <w:hyperlink r:id="rId76">
        <w:r>
          <w:rPr>
            <w:rStyle w:val="Hyperlink"/>
          </w:rPr>
          <w:t>Bitcoin Scalability, 2015</w:t>
        </w:r>
      </w:hyperlink>
      <w:r>
        <w:rPr/>
        <w:t xml:space="preserve"> </w:t>
      </w:r>
    </w:p>
    <w:p>
      <w:pPr>
        <w:pStyle w:val="ListParagraph"/>
        <w:numPr>
          <w:ilvl w:val="0"/>
          <w:numId w:val="0"/>
        </w:numPr>
        <w:ind w:hanging="0" w:left="420"/>
        <w:jc w:val="left"/>
        <w:rPr/>
      </w:pPr>
      <w:hyperlink r:id="rId77">
        <w:r>
          <w:rPr>
            <w:rStyle w:val="Hyperlink"/>
          </w:rPr>
          <w:t xml:space="preserve">Digital Money Trust, 2015 </w:t>
        </w:r>
      </w:hyperlink>
    </w:p>
    <w:p>
      <w:pPr>
        <w:pStyle w:val="ListParagraph"/>
        <w:numPr>
          <w:ilvl w:val="0"/>
          <w:numId w:val="0"/>
        </w:numPr>
        <w:ind w:hanging="0" w:left="420"/>
        <w:jc w:val="left"/>
        <w:rPr/>
      </w:pPr>
      <w:hyperlink r:id="rId78">
        <w:r>
          <w:rPr>
            <w:rStyle w:val="Hyperlink"/>
          </w:rPr>
          <w:t>Jing Currency on IoT, 2014</w:t>
        </w:r>
      </w:hyperlink>
      <w:r>
        <w:rPr/>
        <w:t xml:space="preserve"> </w:t>
      </w:r>
    </w:p>
    <w:p>
      <w:pPr>
        <w:pStyle w:val="ListParagraph"/>
        <w:numPr>
          <w:ilvl w:val="0"/>
          <w:numId w:val="0"/>
        </w:numPr>
        <w:ind w:hanging="0" w:left="420"/>
        <w:jc w:val="left"/>
        <w:rPr/>
      </w:pPr>
      <w:hyperlink r:id="rId79">
        <w:r>
          <w:rPr>
            <w:rStyle w:val="Hyperlink"/>
          </w:rPr>
          <w:t>Aetna Migration, 2011</w:t>
        </w:r>
      </w:hyperlink>
      <w:r>
        <w:rPr/>
        <w:t xml:space="preserve"> </w:t>
      </w:r>
    </w:p>
    <w:p>
      <w:pPr>
        <w:pStyle w:val="ListParagraph"/>
        <w:numPr>
          <w:ilvl w:val="0"/>
          <w:numId w:val="0"/>
        </w:numPr>
        <w:ind w:hanging="0" w:left="420"/>
        <w:jc w:val="left"/>
        <w:rPr/>
      </w:pPr>
      <w:hyperlink r:id="rId80">
        <w:r>
          <w:rPr>
            <w:rStyle w:val="Hyperlink"/>
          </w:rPr>
          <w:t>Avnet E-commerce, 2000</w:t>
        </w:r>
      </w:hyperlink>
      <w:r>
        <w:rPr/>
        <w:t xml:space="preserve"> </w:t>
      </w:r>
    </w:p>
    <w:p>
      <w:pPr>
        <w:pStyle w:val="ListParagraph"/>
        <w:numPr>
          <w:ilvl w:val="0"/>
          <w:numId w:val="0"/>
        </w:numPr>
        <w:ind w:hanging="0" w:left="420"/>
        <w:jc w:val="left"/>
        <w:rPr/>
      </w:pPr>
      <w:hyperlink r:id="rId81">
        <w:r>
          <w:rPr>
            <w:rStyle w:val="Hyperlink"/>
          </w:rPr>
          <w:t>Multi-Tenant Systems, 1996-2018</w:t>
        </w:r>
      </w:hyperlink>
      <w:r>
        <w:rPr/>
        <w:t xml:space="preserve"> </w:t>
      </w:r>
    </w:p>
    <w:p>
      <w:pPr>
        <w:pStyle w:val="ListParagraph"/>
        <w:numPr>
          <w:ilvl w:val="0"/>
          <w:numId w:val="0"/>
        </w:numPr>
        <w:ind w:hanging="0" w:left="420"/>
        <w:jc w:val="left"/>
        <w:rPr/>
      </w:pPr>
      <w:hyperlink r:id="rId82">
        <w:r>
          <w:rPr>
            <w:rStyle w:val="Hyperlink"/>
          </w:rPr>
          <w:t>Federal Highway System, 1992-1996</w:t>
        </w:r>
      </w:hyperlink>
      <w:r>
        <w:rPr/>
        <w:t xml:space="preserve"> </w:t>
      </w:r>
    </w:p>
    <w:p>
      <w:pPr>
        <w:pStyle w:val="ListParagraph"/>
        <w:numPr>
          <w:ilvl w:val="0"/>
          <w:numId w:val="0"/>
        </w:numPr>
        <w:ind w:hanging="0" w:left="420"/>
        <w:jc w:val="left"/>
        <w:rPr/>
      </w:pPr>
      <w:hyperlink r:id="rId83">
        <w:r>
          <w:rPr>
            <w:rStyle w:val="Hyperlink"/>
          </w:rPr>
          <w:t>Hacking the Planet, 1988</w:t>
        </w:r>
      </w:hyperlink>
      <w:r>
        <w:rPr/>
        <w:t xml:space="preserve"> </w:t>
      </w:r>
    </w:p>
    <w:sectPr>
      <w:type w:val="continuous"/>
      <w:pgSz w:w="12240" w:h="15840"/>
      <w:pgMar w:left="691" w:right="691" w:gutter="0" w:header="0" w:top="461" w:footer="0" w:bottom="461"/>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source sans pro">
    <w:altName w:val="sans-serif"/>
    <w:charset w:val="01"/>
    <w:family w:val="auto"/>
    <w:pitch w:val="default"/>
  </w:font>
  <w:font w:name="arial">
    <w:charset w:val="01"/>
    <w:family w:val="swiss"/>
    <w:pitch w:val="default"/>
  </w:font>
  <w:font w:name="Times new roman">
    <w:charset w:val="01"/>
    <w:family w:val="roman"/>
    <w:pitch w:val="variable"/>
  </w:font>
  <w:font w:name="times new roman">
    <w:charset w:val="01"/>
    <w:family w:val="roman"/>
    <w:pitch w:val="variable"/>
  </w:font>
  <w:font w:name="Monaco">
    <w:altName w:val="monospac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token/" TargetMode="External"/><Relationship Id="rId4" Type="http://schemas.openxmlformats.org/officeDocument/2006/relationships/hyperlink" Target="https://broward.ghost.io/current-gold-paper"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hyperlink" Target="https://broward.ghost.io/2023/04/25/go-dig-strategic-design/" TargetMode="External"/><Relationship Id="rId7" Type="http://schemas.openxmlformats.org/officeDocument/2006/relationships/hyperlink" Target="https://broward.ghost.io/2023/05/26/technical-working-group/" TargetMode="External"/><Relationship Id="rId8" Type="http://schemas.openxmlformats.org/officeDocument/2006/relationships/hyperlink" Target="https://broward.ghost.io/2023/09/01/brics-currency-platform/" TargetMode="External"/><Relationship Id="rId9" Type="http://schemas.openxmlformats.org/officeDocument/2006/relationships/hyperlink" Target="https://broward.ghost.io/2014/03/09/about/" TargetMode="Externa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hyperlink" Target="https://fred.stlouisfed.org/series/A091RC1Q027SBEA" TargetMode="External"/><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hyperlink" Target="https://www.soundmoneydefense.org/" TargetMode="External"/><Relationship Id="rId20" Type="http://schemas.openxmlformats.org/officeDocument/2006/relationships/image" Target="media/image10.jpeg"/><Relationship Id="rId21" Type="http://schemas.openxmlformats.org/officeDocument/2006/relationships/hyperlink" Target="https://comptroller.texas.gov/economy/fiscal-notes/2017/september/bullion-depository.php" TargetMode="External"/><Relationship Id="rId22" Type="http://schemas.openxmlformats.org/officeDocument/2006/relationships/hyperlink" Target="https://wapp.capitol.tn.gov/apps/BillInfo/default.aspx?BillNumber=SB0150&amp;amp;GA=113" TargetMode="External"/><Relationship Id="rId23" Type="http://schemas.openxmlformats.org/officeDocument/2006/relationships/hyperlink" Target="https://www.billtrack50.com/billdetail/1569891" TargetMode="External"/><Relationship Id="rId24" Type="http://schemas.openxmlformats.org/officeDocument/2006/relationships/hyperlink" Target="https://legiscan.com/MO/bill/HB718/2023" TargetMode="External"/><Relationship Id="rId25" Type="http://schemas.openxmlformats.org/officeDocument/2006/relationships/hyperlink" Target="https://www.ncleg.gov/BillLookUp/2023/H721" TargetMode="External"/><Relationship Id="rId26" Type="http://schemas.openxmlformats.org/officeDocument/2006/relationships/hyperlink" Target="https://legiscan.com/ID/rollcall/H0180/id/1267687" TargetMode="External"/><Relationship Id="rId27" Type="http://schemas.openxmlformats.org/officeDocument/2006/relationships/hyperlink" Target="https://legiscan.com/OK/bill/SB816/2023" TargetMode="External"/><Relationship Id="rId28" Type="http://schemas.openxmlformats.org/officeDocument/2006/relationships/hyperlink" Target="https://leg.mt.gov/bills/2023/billhtml/HB0884.htm" TargetMode="External"/><Relationship Id="rId29" Type="http://schemas.openxmlformats.org/officeDocument/2006/relationships/hyperlink" Target="https://www.flsenate.gov/Session/Bill/2024/697" TargetMode="External"/><Relationship Id="rId30" Type="http://schemas.openxmlformats.org/officeDocument/2006/relationships/hyperlink" Target="https://www.billtrack50.com/billdetail/1728658" TargetMode="External"/><Relationship Id="rId31" Type="http://schemas.openxmlformats.org/officeDocument/2006/relationships/hyperlink" Target="https://www.wvlegislature.gov/Bill_Status/bills_text.cfm?billdoc=sb749%20intr.htm&amp;yr=2024&amp;sesstype=RS&amp;i=749" TargetMode="External"/><Relationship Id="rId32" Type="http://schemas.openxmlformats.org/officeDocument/2006/relationships/hyperlink" Target="https://blog.tenthamendmentcenter.com/2024/02/arizona-senate-committee-passes-bill-to-establish-bullion-depository-and-transactional-gold-backed-currency/?ref=broward.ghost.io" TargetMode="External"/><Relationship Id="rId33" Type="http://schemas.openxmlformats.org/officeDocument/2006/relationships/hyperlink" Target="https://kslegislature.org/li/b2023_24/measures/documents/hb2729_00_0000.pdf" TargetMode="External"/><Relationship Id="rId34" Type="http://schemas.openxmlformats.org/officeDocument/2006/relationships/hyperlink" Target="https://www.legis.iowa.gov/docs/publications/LGI/90/HF2228.pdf" TargetMode="External"/><Relationship Id="rId35" Type="http://schemas.openxmlformats.org/officeDocument/2006/relationships/hyperlink" Target="https://fastdemocracy.com/bill-search/nh/2024/bills/NHB00011738/" TargetMode="External"/><Relationship Id="rId36" Type="http://schemas.openxmlformats.org/officeDocument/2006/relationships/hyperlink" Target="https://mises.org/power-market/utah-formally-empowers-state-treasurer-protect-state-funds-gold-and-silver" TargetMode="External"/><Relationship Id="rId37" Type="http://schemas.openxmlformats.org/officeDocument/2006/relationships/hyperlink" Target="https://wyoleg.gov/Legislation/2023/SF0127" TargetMode="External"/><Relationship Id="rId38" Type="http://schemas.openxmlformats.org/officeDocument/2006/relationships/hyperlink" Target="https://pub.njleg.gov/bills/2022/A0500/385_I1.HTM" TargetMode="External"/><Relationship Id="rId39" Type="http://schemas.openxmlformats.org/officeDocument/2006/relationships/image" Target="media/image11.jpeg"/><Relationship Id="rId40" Type="http://schemas.openxmlformats.org/officeDocument/2006/relationships/hyperlink" Target="https://broward.ghost.io/golddigr/legal/" TargetMode="External"/><Relationship Id="rId41" Type="http://schemas.openxmlformats.org/officeDocument/2006/relationships/image" Target="media/image12.jpeg"/><Relationship Id="rId42" Type="http://schemas.openxmlformats.org/officeDocument/2006/relationships/hyperlink" Target="https://broward.ghost.io/2014/05/19/early-mobile-system/" TargetMode="External"/><Relationship Id="rId43" Type="http://schemas.openxmlformats.org/officeDocument/2006/relationships/image" Target="media/image13.jpeg"/><Relationship Id="rId44" Type="http://schemas.openxmlformats.org/officeDocument/2006/relationships/image" Target="media/image14.jpeg"/><Relationship Id="rId45" Type="http://schemas.openxmlformats.org/officeDocument/2006/relationships/hyperlink" Target="https://github.com/broward/BRICS" TargetMode="External"/><Relationship Id="rId46" Type="http://schemas.openxmlformats.org/officeDocument/2006/relationships/hyperlink" Target="https://github.com/broward/BRICS" TargetMode="External"/><Relationship Id="rId47" Type="http://schemas.openxmlformats.org/officeDocument/2006/relationships/hyperlink" Target="https://broward.ghost.io/2023/09/01/brics-currency-platform/" TargetMode="External"/><Relationship Id="rId48" Type="http://schemas.openxmlformats.org/officeDocument/2006/relationships/hyperlink" Target="https://broward.ghost.io/2014/01/09/defcon/" TargetMode="External"/><Relationship Id="rId49" Type="http://schemas.openxmlformats.org/officeDocument/2006/relationships/hyperlink" Target="https://www.ugpti.org/research/details.php?id=93&amp;ref=broward.ghost.io" TargetMode="External"/><Relationship Id="rId50" Type="http://schemas.openxmlformats.org/officeDocument/2006/relationships/hyperlink" Target="https://broward.ghost.io/content/images/2022/01/nampa_article-1.jpg" TargetMode="External"/><Relationship Id="rId51" Type="http://schemas.openxmlformats.org/officeDocument/2006/relationships/hyperlink" Target="https://broward.ghost.io/2014/05/19/early-mobile-system/" TargetMode="External"/><Relationship Id="rId52" Type="http://schemas.openxmlformats.org/officeDocument/2006/relationships/hyperlink" Target="https://broward.ghost.io/2021/03/01/saleslogix/" TargetMode="External"/><Relationship Id="rId53" Type="http://schemas.openxmlformats.org/officeDocument/2006/relationships/hyperlink" Target="https://broward.ghost.io/2023/11/14/sunhill-software/" TargetMode="External"/><Relationship Id="rId54" Type="http://schemas.openxmlformats.org/officeDocument/2006/relationships/hyperlink" Target="https://broward.ghost.io/2014/05/20/node-postgres-and-highcharts-app/" TargetMode="External"/><Relationship Id="rId55" Type="http://schemas.openxmlformats.org/officeDocument/2006/relationships/hyperlink" Target="https://dlvr.com/how-it-works/video-multi-cdn-optimization/?ref=broward.ghost.io" TargetMode="External"/><Relationship Id="rId56" Type="http://schemas.openxmlformats.org/officeDocument/2006/relationships/hyperlink" Target="https://broward.ghost.io/2020/08/14/revision-2/" TargetMode="External"/><Relationship Id="rId57" Type="http://schemas.openxmlformats.org/officeDocument/2006/relationships/hyperlink" Target="https://broward.ghost.io/2023/04/02/sonoma/" TargetMode="External"/><Relationship Id="rId58" Type="http://schemas.openxmlformats.org/officeDocument/2006/relationships/hyperlink" Target="https://broward.ghost.io/2015/09/26/bitcoin-blockchains-and-banking-busts/" TargetMode="External"/><Relationship Id="rId59" Type="http://schemas.openxmlformats.org/officeDocument/2006/relationships/hyperlink" Target="https://broward.ghost.io/2021/03/01/digital-currency-on-iot/" TargetMode="External"/><Relationship Id="rId60" Type="http://schemas.openxmlformats.org/officeDocument/2006/relationships/hyperlink" Target="https://docs.silamoney.com/docs?ref=broward.ghost.io" TargetMode="External"/><Relationship Id="rId61" Type="http://schemas.openxmlformats.org/officeDocument/2006/relationships/hyperlink" Target="https://broward.ghost.io/2022/11/18/boeing-revisited/" TargetMode="External"/><Relationship Id="rId62" Type="http://schemas.openxmlformats.org/officeDocument/2006/relationships/hyperlink" Target="https://broward.ghost.io/2021/02/28/e-commerce-systems/" TargetMode="External"/><Relationship Id="rId63" Type="http://schemas.openxmlformats.org/officeDocument/2006/relationships/hyperlink" Target="https://broward.ghost.io/aetna)" TargetMode="External"/><Relationship Id="rId64" Type="http://schemas.openxmlformats.org/officeDocument/2006/relationships/hyperlink" Target="https://broward.ghost.io/2015/05/17/simple-kafka-monitor-using-opendmk-jmx-2-0/" TargetMode="External"/><Relationship Id="rId65" Type="http://schemas.openxmlformats.org/officeDocument/2006/relationships/hyperlink" Target="https://raw.githubusercontent.com/broward/images/master/Architecture/CrossSignFlow.jpg?ref=broward.ghost.io" TargetMode="External"/><Relationship Id="rId66" Type="http://schemas.openxmlformats.org/officeDocument/2006/relationships/hyperlink" Target="https://broward.ghost.io/2023/01/13/skittles-autopsy/" TargetMode="External"/><Relationship Id="rId67" Type="http://schemas.openxmlformats.org/officeDocument/2006/relationships/hyperlink" Target="https://broward.ghost.io/2014/01/09/defcon/" TargetMode="External"/><Relationship Id="rId68" Type="http://schemas.openxmlformats.org/officeDocument/2006/relationships/hyperlink" Target="https://broward.ghost.io/texas_depo" TargetMode="External"/><Relationship Id="rId69" Type="http://schemas.openxmlformats.org/officeDocument/2006/relationships/hyperlink" Target="https://broward.ghost.io/BRICS" TargetMode="External"/><Relationship Id="rId70" Type="http://schemas.openxmlformats.org/officeDocument/2006/relationships/hyperlink" Target="https://broward.ghost.io/aws_app_1" TargetMode="External"/><Relationship Id="rId71" Type="http://schemas.openxmlformats.org/officeDocument/2006/relationships/hyperlink" Target="https://broward.ghost.io/stablecoin_hack" TargetMode="External"/><Relationship Id="rId72" Type="http://schemas.openxmlformats.org/officeDocument/2006/relationships/hyperlink" Target="https://broward.ghost.io/miner_bankruptcy" TargetMode="External"/><Relationship Id="rId73" Type="http://schemas.openxmlformats.org/officeDocument/2006/relationships/hyperlink" Target="https://broward.ghost.io/polymorphic_api/" TargetMode="External"/><Relationship Id="rId74" Type="http://schemas.openxmlformats.org/officeDocument/2006/relationships/hyperlink" Target="https://broward.ghost.io/crypto_platform" TargetMode="External"/><Relationship Id="rId75" Type="http://schemas.openxmlformats.org/officeDocument/2006/relationships/hyperlink" Target="https://broward.ghost.io/payment_system" TargetMode="External"/><Relationship Id="rId76" Type="http://schemas.openxmlformats.org/officeDocument/2006/relationships/hyperlink" Target="https://broward.ghost.io/bitcoin_scalability" TargetMode="External"/><Relationship Id="rId77" Type="http://schemas.openxmlformats.org/officeDocument/2006/relationships/hyperlink" Target="https://broward.ghost.io/digital_money_trust" TargetMode="External"/><Relationship Id="rId78" Type="http://schemas.openxmlformats.org/officeDocument/2006/relationships/hyperlink" Target="https://broward.ghost.io/digital_on_IoT" TargetMode="External"/><Relationship Id="rId79" Type="http://schemas.openxmlformats.org/officeDocument/2006/relationships/hyperlink" Target="https://broward.ghost.io/aetna" TargetMode="External"/><Relationship Id="rId80" Type="http://schemas.openxmlformats.org/officeDocument/2006/relationships/hyperlink" Target="https://broward.ghost.io/avnet" TargetMode="External"/><Relationship Id="rId81" Type="http://schemas.openxmlformats.org/officeDocument/2006/relationships/hyperlink" Target="https://broward.ghost.io/multi-tenant" TargetMode="External"/><Relationship Id="rId82" Type="http://schemas.openxmlformats.org/officeDocument/2006/relationships/hyperlink" Target="https://broward.ghost.io/FHWA/" TargetMode="External"/><Relationship Id="rId83" Type="http://schemas.openxmlformats.org/officeDocument/2006/relationships/hyperlink" Target="https://broward.ghost.io/hack_the_planet" TargetMode="External"/><Relationship Id="rId84" Type="http://schemas.openxmlformats.org/officeDocument/2006/relationships/numbering" Target="numbering.xml"/><Relationship Id="rId85" Type="http://schemas.openxmlformats.org/officeDocument/2006/relationships/fontTable" Target="fontTable.xml"/><Relationship Id="rId86" Type="http://schemas.openxmlformats.org/officeDocument/2006/relationships/settings" Target="settings.xml"/><Relationship Id="rId8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3262</TotalTime>
  <Application>LibreOffice/24.2.6.2$Linux_X86_64 LibreOffice_project/420$Build-2</Application>
  <AppVersion>15.0000</AppVersion>
  <Pages>10</Pages>
  <Words>1883</Words>
  <Characters>10462</Characters>
  <CharactersWithSpaces>12364</CharactersWithSpaces>
  <Paragraphs>212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2024-10-28T18:01:49Z</cp:lastPrinted>
  <dcterms:modified xsi:type="dcterms:W3CDTF">2024-10-28T21:36:53Z</dcterms:modified>
  <cp:revision>355</cp:revision>
  <dc:subject/>
  <dc:title/>
</cp:coreProperties>
</file>

<file path=docProps/custom.xml><?xml version="1.0" encoding="utf-8"?>
<Properties xmlns="http://schemas.openxmlformats.org/officeDocument/2006/custom-properties" xmlns:vt="http://schemas.openxmlformats.org/officeDocument/2006/docPropsVTypes"/>
</file>