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6.jpeg" ContentType="image/jpeg"/>
  <Override PartName="/word/media/image9.png" ContentType="image/png"/>
  <Override PartName="/word/media/image12.jpeg" ContentType="image/jpeg"/>
  <Override PartName="/word/media/image13.png" ContentType="image/png"/>
  <Override PartName="/word/media/image7.jpeg" ContentType="image/jpeg"/>
  <Override PartName="/word/media/image18.png" ContentType="image/png"/>
  <Override PartName="/word/media/image20.png" ContentType="image/png"/>
  <Override PartName="/word/media/image21.jpeg" ContentType="image/jpeg"/>
  <Override PartName="/word/media/image16.png" ContentType="image/png"/>
  <Override PartName="/word/media/image19.jpeg" ContentType="image/jpeg"/>
  <Override PartName="/word/media/image17.jpeg" ContentType="image/jpeg"/>
  <Override PartName="/word/media/image15.jpeg" ContentType="image/jpeg"/>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14.jpeg" ContentType="image/jpeg"/>
  <Override PartName="/word/media/image8.png" ContentType="image/png"/>
  <Override PartName="/word/media/image11.jpeg" ContentType="image/jpe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true"/>
        <w:keepLines/>
        <w:bidi w:val="0"/>
        <w:spacing w:before="202" w:after="115"/>
        <w:jc w:val="left"/>
        <w:rPr/>
      </w:pPr>
      <w:r>
        <w:drawing>
          <wp:anchor behindDoc="0" distT="0" distB="0" distL="0" distR="0" simplePos="0" locked="0" layoutInCell="0" allowOverlap="1" relativeHeight="16">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 DIGR White Paper – 2023</w:t>
      </w:r>
    </w:p>
    <w:p>
      <w:pPr>
        <w:pStyle w:val="Heading2"/>
        <w:rPr/>
      </w:pPr>
      <w:r>
        <w:rPr/>
        <w:t>Broward Horne, Vancouver, WA</w:t>
      </w:r>
    </w:p>
    <w:p>
      <w:pPr>
        <w:pStyle w:val="Heading2"/>
        <w:rPr/>
      </w:pPr>
      <w:r>
        <w:rPr>
          <w:rStyle w:val="InternetLink"/>
        </w:rPr>
        <w:t>browardhorne@gmail.com</w:t>
      </w:r>
    </w:p>
    <w:p>
      <w:pPr>
        <w:pStyle w:val="Heading2"/>
        <w:rPr/>
      </w:pPr>
      <w:hyperlink r:id="rId3">
        <w:r>
          <w:rPr>
            <w:rStyle w:val="InternetLink"/>
          </w:rPr>
          <w:t>https://broward.ghost.io</w:t>
        </w:r>
      </w:hyperlink>
    </w:p>
    <w:p>
      <w:pPr>
        <w:pStyle w:val="Normal"/>
        <w:bidi w:val="0"/>
        <w:jc w:val="left"/>
        <w:rPr/>
      </w:pPr>
      <w:r>
        <w:rPr/>
        <w:br/>
      </w:r>
    </w:p>
    <w:p>
      <w:pPr>
        <w:pStyle w:val="Normal"/>
        <w:bidi w:val="0"/>
        <w:jc w:val="left"/>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 xml:space="preserve">. </w:t>
      </w:r>
      <w:r>
        <w:rPr>
          <w:b/>
          <w:sz w:val="20"/>
        </w:rPr>
        <w:t>I'm seeking a related contract position.</w:t>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historical forces, strategic design, key features and technical issues to familiarize readers with core concepts and impacts.</w:t>
      </w:r>
    </w:p>
    <w:p>
      <w:pPr>
        <w:pStyle w:val="Normal"/>
        <w:bidi w:val="0"/>
        <w:jc w:val="left"/>
        <w:rPr/>
      </w:pPr>
      <w:r>
        <w:rPr/>
      </w:r>
    </w:p>
    <w:p>
      <w:pPr>
        <w:pStyle w:val="Heading3"/>
        <w:bidi w:val="0"/>
        <w:jc w:val="left"/>
        <w:rPr/>
      </w:pPr>
      <w:r>
        <w:rPr>
          <w:b/>
        </w:rPr>
        <w:t>Immediate Considerations</w:t>
      </w:r>
    </w:p>
    <w:p>
      <w:pPr>
        <w:pStyle w:val="Heading4"/>
        <w:bidi w:val="0"/>
        <w:jc w:val="left"/>
        <w:rPr/>
      </w:pPr>
      <w:r>
        <w:rPr>
          <w:b/>
        </w:rPr>
        <w:t>Low Energy Use</w:t>
      </w:r>
      <w:r>
        <w:rPr/>
        <w:t>:</w:t>
      </w:r>
    </w:p>
    <w:p>
      <w:pPr>
        <w:pStyle w:val="Normal"/>
        <w:bidi w:val="0"/>
        <w:jc w:val="left"/>
        <w:rPr/>
      </w:pPr>
      <w:r>
        <w:rPr/>
        <w:t>GOLDDIGR does not require enormous energy. It consumes the same energy as sending an email or editing a document. Most crypto-currencies refer to "mining", "Proof of work", "concensus mechanism",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is less complex than crypto-currencies. It doesn't require "proof" schemes to generate scarcity, validation and concensus mechanisms, etc.</w:t>
      </w:r>
    </w:p>
    <w:p>
      <w:pPr>
        <w:pStyle w:val="Heading4"/>
        <w:bidi w:val="0"/>
        <w:jc w:val="left"/>
        <w:rPr/>
      </w:pPr>
      <w:r>
        <w:rPr>
          <w:b/>
        </w:rPr>
        <w:t>Political Issues</w:t>
      </w:r>
    </w:p>
    <w:p>
      <w:pPr>
        <w:pStyle w:val="ListParagraph"/>
        <w:numPr>
          <w:ilvl w:val="0"/>
          <w:numId w:val="14"/>
        </w:numPr>
        <w:bidi w:val="0"/>
        <w:jc w:val="left"/>
        <w:rPr/>
      </w:pPr>
      <w:r>
        <w:rPr/>
        <w:t xml:space="preserve">Is cash equivalency a goal? A defining trait of cash is its </w:t>
      </w:r>
      <w:r>
        <w:rPr>
          <w:b/>
        </w:rPr>
        <w:t>lack of identity</w:t>
      </w:r>
      <w:r>
        <w:rPr/>
        <w:t>.</w:t>
      </w:r>
    </w:p>
    <w:p>
      <w:pPr>
        <w:pStyle w:val="ListParagraph"/>
        <w:numPr>
          <w:ilvl w:val="0"/>
          <w:numId w:val="15"/>
        </w:numPr>
        <w:bidi w:val="0"/>
        <w:jc w:val="left"/>
        <w:rPr/>
      </w:pPr>
      <w:r>
        <w:rPr/>
        <w:t>Is Regional Interoperatibility a goal?</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16"/>
        </w:numPr>
        <w:bidi w:val="0"/>
        <w:jc w:val="left"/>
        <w:rPr/>
      </w:pPr>
      <w:r>
        <w:rPr>
          <w:b/>
        </w:rPr>
        <w:t>key management</w:t>
      </w:r>
      <w:r>
        <w:rPr/>
        <w:t xml:space="preserve"> (similar to safety deposit box keys)</w:t>
      </w:r>
    </w:p>
    <w:p>
      <w:pPr>
        <w:pStyle w:val="ListParagraph"/>
        <w:numPr>
          <w:ilvl w:val="0"/>
          <w:numId w:val="17"/>
        </w:numPr>
        <w:bidi w:val="0"/>
        <w:jc w:val="left"/>
        <w:rPr/>
      </w:pPr>
      <w:r>
        <w:rPr/>
        <w:t xml:space="preserve">select an appropriate </w:t>
      </w:r>
      <w:r>
        <w:rPr>
          <w:b/>
        </w:rPr>
        <w:t>blockchain</w:t>
      </w:r>
      <w:r>
        <w:rPr/>
        <w:t>,</w:t>
      </w:r>
    </w:p>
    <w:p>
      <w:pPr>
        <w:pStyle w:val="ListParagraph"/>
        <w:numPr>
          <w:ilvl w:val="0"/>
          <w:numId w:val="18"/>
        </w:numPr>
        <w:bidi w:val="0"/>
        <w:jc w:val="left"/>
        <w:rPr/>
      </w:pPr>
      <w:r>
        <w:rPr>
          <w:b/>
        </w:rPr>
        <w:t>integration</w:t>
      </w:r>
      <w:r>
        <w:rPr/>
        <w:t xml:space="preserve"> of blockchain with existing inventory system</w:t>
      </w:r>
    </w:p>
    <w:p>
      <w:pPr>
        <w:pStyle w:val="ListParagraph"/>
        <w:numPr>
          <w:ilvl w:val="0"/>
          <w:numId w:val="19"/>
        </w:numPr>
        <w:bidi w:val="0"/>
        <w:jc w:val="left"/>
        <w:rPr/>
      </w:pPr>
      <w:r>
        <w:rPr/>
        <w:t>Determine SLAs for uptime and response time</w:t>
      </w:r>
    </w:p>
    <w:p>
      <w:pPr>
        <w:pStyle w:val="ListParagraph"/>
        <w:numPr>
          <w:ilvl w:val="0"/>
          <w:numId w:val="20"/>
        </w:numPr>
        <w:bidi w:val="0"/>
        <w:jc w:val="left"/>
        <w:rPr/>
      </w:pPr>
      <w:r>
        <w:rPr/>
        <w:t>Determine peak concurrent users, transactions</w:t>
      </w:r>
    </w:p>
    <w:p>
      <w:pPr>
        <w:pStyle w:val="ListParagraph"/>
        <w:numPr>
          <w:ilvl w:val="0"/>
          <w:numId w:val="21"/>
        </w:numPr>
        <w:bidi w:val="0"/>
        <w:jc w:val="left"/>
        <w:rPr/>
      </w:pPr>
      <w:r>
        <w:rPr/>
        <w:t>Determine a client/wallet definition</w:t>
      </w:r>
    </w:p>
    <w:p>
      <w:pPr>
        <w:pStyle w:val="Normal"/>
        <w:bidi w:val="0"/>
        <w:jc w:val="left"/>
        <w:rPr/>
      </w:pPr>
      <w:r>
        <w:rPr/>
        <w:br/>
        <w:br/>
      </w:r>
      <w:r>
        <w:br w:type="page"/>
      </w:r>
    </w:p>
    <w:p>
      <w:pPr>
        <w:pStyle w:val="Heading3"/>
        <w:bidi w:val="0"/>
        <w:jc w:val="left"/>
        <w:rPr/>
      </w:pPr>
      <w:r>
        <w:drawing>
          <wp:anchor behindDoc="0" distT="0" distB="0" distL="0" distR="0" simplePos="0" locked="0" layoutInCell="0" allowOverlap="1" relativeHeight="17">
            <wp:simplePos x="0" y="0"/>
            <wp:positionH relativeFrom="column">
              <wp:posOffset>4370705</wp:posOffset>
            </wp:positionH>
            <wp:positionV relativeFrom="paragraph">
              <wp:posOffset>165735</wp:posOffset>
            </wp:positionV>
            <wp:extent cx="2743200" cy="9144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5"/>
                    <a:stretch>
                      <a:fillRect/>
                    </a:stretch>
                  </pic:blipFill>
                  <pic:spPr bwMode="auto">
                    <a:xfrm>
                      <a:off x="0" y="0"/>
                      <a:ext cx="2743200" cy="914400"/>
                    </a:xfrm>
                    <a:prstGeom prst="rect">
                      <a:avLst/>
                    </a:prstGeom>
                  </pic:spPr>
                </pic:pic>
              </a:graphicData>
            </a:graphic>
          </wp:anchor>
        </w:drawing>
      </w:r>
      <w:r>
        <w:rPr/>
        <w:t xml:space="preserve">Relevant History </w:t>
      </w:r>
    </w:p>
    <w:p>
      <w:pPr>
        <w:pStyle w:val="Heading3"/>
        <w:bidi w:val="0"/>
        <w:jc w:val="left"/>
        <w:rPr/>
      </w:pPr>
      <w:r>
        <w:rP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drawing>
          <wp:inline distT="0" distB="0" distL="0" distR="0">
            <wp:extent cx="4881245" cy="266763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4881245" cy="2667635"/>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7">
        <w:r>
          <w:rPr>
            <w:rStyle w:val="InternetLink"/>
          </w:rPr>
          <w:t>Federal debt interest payments</w:t>
        </w:r>
      </w:hyperlink>
      <w:r>
        <w:rPr/>
        <w:t xml:space="preserve"> is unsustainable.</w:t>
      </w:r>
    </w:p>
    <w:p>
      <w:pPr>
        <w:pStyle w:val="Normal"/>
        <w:bidi w:val="0"/>
        <w:jc w:val="left"/>
        <w:rPr/>
      </w:pPr>
      <w:r>
        <w:rPr/>
        <w:drawing>
          <wp:inline distT="0" distB="0" distL="0" distR="0">
            <wp:extent cx="5711190" cy="268097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8"/>
                    <a:stretch>
                      <a:fillRect/>
                    </a:stretch>
                  </pic:blipFill>
                  <pic:spPr bwMode="auto">
                    <a:xfrm>
                      <a:off x="0" y="0"/>
                      <a:ext cx="5711190" cy="2680970"/>
                    </a:xfrm>
                    <a:prstGeom prst="rect">
                      <a:avLst/>
                    </a:prstGeom>
                  </pic:spPr>
                </pic:pic>
              </a:graphicData>
            </a:graphic>
          </wp:inline>
        </w:drawing>
      </w:r>
    </w:p>
    <w:p>
      <w:pPr>
        <w:pStyle w:val="Normal"/>
        <w:bidi w:val="0"/>
        <w:jc w:val="left"/>
        <w:rPr/>
      </w:pPr>
      <w:r>
        <w:rPr/>
        <w:t>Federal Interest Payments</w:t>
      </w:r>
    </w:p>
    <w:p>
      <w:pPr>
        <w:pStyle w:val="Normal"/>
        <w:bidi w:val="0"/>
        <w:jc w:val="left"/>
        <w:rPr/>
      </w:pPr>
      <w:r>
        <w:rPr/>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9"/>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 xml:space="preserve">De-dollarization. The BRICS separate financial system aims to use their oligopoly power to control commodity prices and bypass the US Dollar. BRIC countries control </w:t>
      </w:r>
      <w:r>
        <w:rPr/>
        <w:t>50%</w:t>
      </w:r>
      <w:r>
        <w:rPr/>
        <w:t xml:space="preserve"> of the world's food supply, </w:t>
      </w:r>
      <w:r>
        <w:rPr/>
        <w:t>70% of the</w:t>
      </w:r>
      <w:r>
        <w:rPr/>
        <w:t xml:space="preserve"> microchip supply (China </w:t>
      </w:r>
      <w:r>
        <w:rPr/>
        <w:t xml:space="preserve">+ </w:t>
      </w:r>
      <w:r>
        <w:rPr/>
        <w:t>Taiwan) and enough energy to control pricing in concert with a partner like Saudi Arabia or Venezuela.</w:t>
      </w:r>
    </w:p>
    <w:p>
      <w:pPr>
        <w:pStyle w:val="Normal"/>
        <w:bidi w:val="0"/>
        <w:jc w:val="left"/>
        <w:rPr/>
      </w:pPr>
      <w:r>
        <w:rPr/>
        <w:drawing>
          <wp:inline distT="0" distB="0" distL="0" distR="0">
            <wp:extent cx="5924550" cy="1828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24550" cy="1828800"/>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abuses, restrictions, or even political interference in financial transactions.</w:t>
      </w:r>
    </w:p>
    <w:p>
      <w:pPr>
        <w:pStyle w:val="Normal"/>
        <w:bidi w:val="0"/>
        <w:jc w:val="left"/>
        <w:rPr/>
      </w:pPr>
      <w:r>
        <w:rPr/>
        <w:drawing>
          <wp:inline distT="0" distB="0" distL="0" distR="0">
            <wp:extent cx="5924550" cy="263842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24550" cy="2638425"/>
                    </a:xfrm>
                    <a:prstGeom prst="rect">
                      <a:avLst/>
                    </a:prstGeom>
                  </pic:spPr>
                </pic:pic>
              </a:graphicData>
            </a:graphic>
          </wp:inline>
        </w:drawing>
      </w:r>
      <w:r>
        <w:rPr/>
        <w:br/>
        <w:br/>
      </w:r>
    </w:p>
    <w:p>
      <w:pPr>
        <w:pStyle w:val="Normal"/>
        <w:bidi w:val="0"/>
        <w:jc w:val="left"/>
        <w:rPr/>
      </w:pPr>
      <w:r>
        <w:rPr/>
      </w:r>
      <w:r>
        <w:br w:type="page"/>
      </w:r>
    </w:p>
    <w:p>
      <w:pPr>
        <w:pStyle w:val="Heading3"/>
        <w:rPr/>
      </w:pPr>
      <w:r>
        <w:drawing>
          <wp:anchor behindDoc="0" distT="0" distB="0" distL="0" distR="0" simplePos="0" locked="0" layoutInCell="0" allowOverlap="1" relativeHeight="18">
            <wp:simplePos x="0" y="0"/>
            <wp:positionH relativeFrom="column">
              <wp:posOffset>4340860</wp:posOffset>
            </wp:positionH>
            <wp:positionV relativeFrom="paragraph">
              <wp:posOffset>33655</wp:posOffset>
            </wp:positionV>
            <wp:extent cx="2743200" cy="9144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2"/>
                    <a:stretch>
                      <a:fillRect/>
                    </a:stretch>
                  </pic:blipFill>
                  <pic:spPr bwMode="auto">
                    <a:xfrm>
                      <a:off x="0" y="0"/>
                      <a:ext cx="2743200" cy="914400"/>
                    </a:xfrm>
                    <a:prstGeom prst="rect">
                      <a:avLst/>
                    </a:prstGeom>
                  </pic:spPr>
                </pic:pic>
              </a:graphicData>
            </a:graphic>
          </wp:anchor>
        </w:drawing>
      </w:r>
      <w:r>
        <w:rPr/>
        <w:t>USA Legislation</w:t>
      </w:r>
    </w:p>
    <w:p>
      <w:pPr>
        <w:pStyle w:val="Heading3"/>
        <w:rPr/>
      </w:pPr>
      <w:r>
        <w:rP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13">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left="754" w:hanging="0"/>
        <w:jc w:val="left"/>
        <w:rPr/>
      </w:pPr>
      <w:r>
        <w:rPr/>
      </w:r>
    </w:p>
    <w:p>
      <w:pPr>
        <w:pStyle w:val="Normal"/>
        <w:bidi w:val="0"/>
        <w:jc w:val="left"/>
        <w:rPr/>
      </w:pPr>
      <w:r>
        <w:rPr/>
        <w:t>1) States where gold and silver are legal tender</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92240" cy="26987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492240" cy="2698750"/>
                    </a:xfrm>
                    <a:prstGeom prst="rect">
                      <a:avLst/>
                    </a:prstGeom>
                  </pic:spPr>
                </pic:pic>
              </a:graphicData>
            </a:graphic>
          </wp:anchor>
        </w:drawing>
      </w:r>
    </w:p>
    <w:p>
      <w:pPr>
        <w:pStyle w:val="Normal"/>
        <w:bidi w:val="0"/>
        <w:jc w:val="left"/>
        <w:rPr/>
      </w:pPr>
      <w:r>
        <w:rPr/>
        <w:t>2) Plus States with pending legislation in 2023</w:t>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92240" cy="259969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5"/>
                    <a:stretch>
                      <a:fillRect/>
                    </a:stretch>
                  </pic:blipFill>
                  <pic:spPr bwMode="auto">
                    <a:xfrm>
                      <a:off x="0" y="0"/>
                      <a:ext cx="6492240" cy="2599690"/>
                    </a:xfrm>
                    <a:prstGeom prst="rect">
                      <a:avLst/>
                    </a:prstGeom>
                  </pic:spPr>
                </pic:pic>
              </a:graphicData>
            </a:graphic>
          </wp:anchor>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pPr>
      <w:r>
        <w:rPr/>
      </w:r>
    </w:p>
    <w:p>
      <w:pPr>
        <w:pStyle w:val="Heading3"/>
        <w:bidi w:val="0"/>
        <w:jc w:val="left"/>
        <w:rPr/>
      </w:pPr>
      <w:r>
        <w:rPr>
          <w:b/>
        </w:rPr>
        <w:t>Regional Depository Concept</w:t>
      </w:r>
    </w:p>
    <w:p>
      <w:pPr>
        <w:pStyle w:val="Normal"/>
        <w:bidi w:val="0"/>
        <w:jc w:val="left"/>
        <w:rPr/>
      </w:pPr>
      <w:r>
        <w:rPr/>
        <w:t xml:space="preserve">Notice the significant increase after 2020.  </w:t>
      </w:r>
      <w:r>
        <w:rPr/>
        <w:t xml:space="preserve">If the previous legislation had passed, our depository map would look like this and Depository States (gold) </w:t>
      </w:r>
      <w:r>
        <w:rPr/>
        <w:t>might s</w:t>
      </w:r>
      <w:r>
        <w:rPr/>
        <w:t>upport regional currencies of non-depository States (yellow).</w:t>
      </w:r>
    </w:p>
    <w:p>
      <w:pPr>
        <w:pStyle w:val="Normal"/>
        <w:bidi w:val="0"/>
        <w:jc w:val="left"/>
        <w:rPr/>
      </w:pPr>
      <w:r>
        <w:rPr/>
        <w:drawing>
          <wp:inline distT="0" distB="0" distL="0" distR="0">
            <wp:extent cx="5924550" cy="319913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6"/>
                    <a:stretch>
                      <a:fillRect/>
                    </a:stretch>
                  </pic:blipFill>
                  <pic:spPr bwMode="auto">
                    <a:xfrm>
                      <a:off x="0" y="0"/>
                      <a:ext cx="5924550" cy="3199130"/>
                    </a:xfrm>
                    <a:prstGeom prst="rect">
                      <a:avLst/>
                    </a:prstGeom>
                  </pic:spPr>
                </pic:pic>
              </a:graphicData>
            </a:graphic>
          </wp:inline>
        </w:drawing>
      </w:r>
    </w:p>
    <w:p>
      <w:pPr>
        <w:pStyle w:val="Heading4"/>
        <w:bidi w:val="0"/>
        <w:jc w:val="left"/>
        <w:rPr/>
      </w:pPr>
      <w:r>
        <w:rPr>
          <w:b/>
        </w:rPr>
        <w:t>Considerations</w:t>
      </w:r>
    </w:p>
    <w:p>
      <w:pPr>
        <w:pStyle w:val="ListParagraph"/>
        <w:numPr>
          <w:ilvl w:val="0"/>
          <w:numId w:val="22"/>
        </w:numPr>
        <w:bidi w:val="0"/>
        <w:jc w:val="left"/>
        <w:rPr/>
      </w:pPr>
      <w:r>
        <w:rPr/>
        <w:t>depository holds bullion only (for fungibility)</w:t>
      </w:r>
    </w:p>
    <w:p>
      <w:pPr>
        <w:pStyle w:val="ListParagraph"/>
        <w:numPr>
          <w:ilvl w:val="0"/>
          <w:numId w:val="23"/>
        </w:numPr>
        <w:bidi w:val="0"/>
        <w:jc w:val="left"/>
        <w:rPr/>
      </w:pPr>
      <w:r>
        <w:rPr/>
        <w:t>interoperatibility with other depositories</w:t>
      </w:r>
    </w:p>
    <w:p>
      <w:pPr>
        <w:pStyle w:val="ListParagraph"/>
        <w:numPr>
          <w:ilvl w:val="0"/>
          <w:numId w:val="24"/>
        </w:numPr>
        <w:bidi w:val="0"/>
        <w:jc w:val="left"/>
        <w:rPr/>
      </w:pPr>
      <w:r>
        <w:rPr/>
        <w:t>is ACH (Federal Reserve) access necessary?</w:t>
      </w:r>
    </w:p>
    <w:p>
      <w:pPr>
        <w:pStyle w:val="Heading4"/>
        <w:bidi w:val="0"/>
        <w:jc w:val="left"/>
        <w:rPr>
          <w:b/>
          <w:b/>
        </w:rPr>
      </w:pPr>
      <w:r>
        <w:rPr>
          <w:b/>
        </w:rPr>
      </w:r>
    </w:p>
    <w:p>
      <w:pPr>
        <w:pStyle w:val="Heading4"/>
        <w:bidi w:val="0"/>
        <w:jc w:val="left"/>
        <w:rPr/>
      </w:pPr>
      <w:r>
        <w:rPr>
          <w:b/>
        </w:rPr>
        <w:t>Regional Coordination</w:t>
      </w:r>
    </w:p>
    <w:p>
      <w:pPr>
        <w:pStyle w:val="Normal"/>
        <w:bidi w:val="0"/>
        <w:jc w:val="left"/>
        <w:rPr/>
      </w:pPr>
      <w:r>
        <w:rPr/>
        <w:t>A regional approach would require a steering committee to c</w:t>
      </w:r>
      <w:r>
        <w:rPr/>
        <w:t>oordinate State laws, implementation, settlement schedule</w:t>
      </w:r>
      <w:r>
        <w:rPr/>
        <w:t>s</w:t>
      </w:r>
      <w:r>
        <w:rPr/>
        <w:t>, delivery and security, reciprocity with adjoining States.</w:t>
      </w:r>
    </w:p>
    <w:p>
      <w:pPr>
        <w:pStyle w:val="Heading4"/>
        <w:bidi w:val="0"/>
        <w:jc w:val="left"/>
        <w:rPr/>
      </w:pPr>
      <w:r>
        <w:rPr>
          <w:b/>
        </w:rPr>
        <w:t>Impedence-Matched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regional currency would be controlled regionally.</w:t>
      </w:r>
    </w:p>
    <w:p>
      <w:pPr>
        <w:pStyle w:val="Normal"/>
        <w:bidi w:val="0"/>
        <w:jc w:val="left"/>
        <w:rPr/>
      </w:pPr>
      <w:r>
        <w:rPr/>
        <w:drawing>
          <wp:inline distT="0" distB="0" distL="0" distR="0">
            <wp:extent cx="5791200" cy="41910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7"/>
                    <a:stretch>
                      <a:fillRect/>
                    </a:stretch>
                  </pic:blipFill>
                  <pic:spPr bwMode="auto">
                    <a:xfrm>
                      <a:off x="0" y="0"/>
                      <a:ext cx="5791200" cy="4191000"/>
                    </a:xfrm>
                    <a:prstGeom prst="rect">
                      <a:avLst/>
                    </a:prstGeom>
                  </pic:spPr>
                </pic:pic>
              </a:graphicData>
            </a:graphic>
          </wp:inline>
        </w:drawing>
      </w:r>
      <w:r>
        <w:rPr/>
        <w:br/>
        <w:br/>
      </w:r>
    </w:p>
    <w:p>
      <w:pPr>
        <w:pStyle w:val="Normal"/>
        <w:bidi w:val="0"/>
        <w:jc w:val="left"/>
        <w:rPr/>
      </w:pPr>
      <w:r>
        <w:rPr/>
      </w:r>
      <w:r>
        <w:br w:type="page"/>
      </w:r>
    </w:p>
    <w:p>
      <w:pPr>
        <w:pStyle w:val="Heading3"/>
        <w:bidi w:val="0"/>
        <w:jc w:val="left"/>
        <w:rPr/>
      </w:pPr>
      <w:r>
        <w:drawing>
          <wp:anchor behindDoc="0" distT="0" distB="0" distL="0" distR="0" simplePos="0" locked="0" layoutInCell="0" allowOverlap="1" relativeHeight="19">
            <wp:simplePos x="0" y="0"/>
            <wp:positionH relativeFrom="column">
              <wp:posOffset>4360545</wp:posOffset>
            </wp:positionH>
            <wp:positionV relativeFrom="paragraph">
              <wp:posOffset>41910</wp:posOffset>
            </wp:positionV>
            <wp:extent cx="2743200" cy="91440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8"/>
                    <a:stretch>
                      <a:fillRect/>
                    </a:stretch>
                  </pic:blipFill>
                  <pic:spPr bwMode="auto">
                    <a:xfrm>
                      <a:off x="0" y="0"/>
                      <a:ext cx="2743200" cy="914400"/>
                    </a:xfrm>
                    <a:prstGeom prst="rect">
                      <a:avLst/>
                    </a:prstGeom>
                  </pic:spPr>
                </pic:pic>
              </a:graphicData>
            </a:graphic>
          </wp:anchor>
        </w:drawing>
      </w:r>
      <w:r>
        <w:rPr/>
        <w:t>Proposal</w:t>
      </w:r>
    </w:p>
    <w:p>
      <w:pPr>
        <w:pStyle w:val="Heading3"/>
        <w:bidi w:val="0"/>
        <w:jc w:val="left"/>
        <w:rPr/>
      </w:pPr>
      <w:r>
        <w:rPr/>
        <w:br/>
      </w:r>
    </w:p>
    <w:p>
      <w:pPr>
        <w:pStyle w:val="Normal"/>
        <w:bidi w:val="0"/>
        <w:jc w:val="left"/>
        <w:rPr/>
      </w:pPr>
      <w:r>
        <w:rPr/>
        <w:t xml:space="preserve">In 2018, I wrote a successful crypto-currency platform on Amazon AWS, </w:t>
      </w:r>
      <w:hyperlink r:id="rId19">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drawing>
          <wp:inline distT="0" distB="0" distL="0" distR="0">
            <wp:extent cx="5924550" cy="326009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20"/>
                    <a:stretch>
                      <a:fillRect/>
                    </a:stretch>
                  </pic:blipFill>
                  <pic:spPr bwMode="auto">
                    <a:xfrm>
                      <a:off x="0" y="0"/>
                      <a:ext cx="5924550" cy="3260090"/>
                    </a:xfrm>
                    <a:prstGeom prst="rect">
                      <a:avLst/>
                    </a:prstGeom>
                  </pic:spPr>
                </pic:pic>
              </a:graphicData>
            </a:graphic>
          </wp:inline>
        </w:drawing>
      </w:r>
    </w:p>
    <w:p>
      <w:pPr>
        <w:pStyle w:val="Normal"/>
        <w:bidi w:val="0"/>
        <w:jc w:val="left"/>
        <w:rPr/>
      </w:pPr>
      <w:r>
        <w:rPr/>
      </w:r>
    </w:p>
    <w:p>
      <w:pPr>
        <w:pStyle w:val="Normal"/>
        <w:bidi w:val="0"/>
        <w:jc w:val="left"/>
        <w:rPr/>
      </w:pPr>
      <w:r>
        <w:rPr/>
        <w:t>The proposal is to replace the Ethereum component with a separate blockchain and optional Gold Depository Inventory System. This design would be very similar.</w:t>
      </w:r>
    </w:p>
    <w:p>
      <w:pPr>
        <w:pStyle w:val="Normal"/>
        <w:bidi w:val="0"/>
        <w:jc w:val="left"/>
        <w:rPr/>
      </w:pPr>
      <w:r>
        <w:rPr/>
      </w:r>
    </w:p>
    <w:p>
      <w:pPr>
        <w:pStyle w:val="Normal"/>
        <w:bidi w:val="0"/>
        <w:jc w:val="left"/>
        <w:rPr/>
      </w:pPr>
      <w:r>
        <w:rPr/>
        <w:drawing>
          <wp:inline distT="0" distB="0" distL="0" distR="0">
            <wp:extent cx="5924550" cy="325183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21"/>
                    <a:stretch>
                      <a:fillRect/>
                    </a:stretch>
                  </pic:blipFill>
                  <pic:spPr bwMode="auto">
                    <a:xfrm>
                      <a:off x="0" y="0"/>
                      <a:ext cx="5924550" cy="3251835"/>
                    </a:xfrm>
                    <a:prstGeom prst="rect">
                      <a:avLst/>
                    </a:prstGeom>
                  </pic:spPr>
                </pic:pic>
              </a:graphicData>
            </a:graphic>
          </wp:inline>
        </w:drawing>
      </w:r>
    </w:p>
    <w:p>
      <w:pPr>
        <w:pStyle w:val="Heading3"/>
        <w:bidi w:val="0"/>
        <w:jc w:val="left"/>
        <w:rPr/>
      </w:pPr>
      <w:r>
        <w:drawing>
          <wp:anchor behindDoc="0" distT="0" distB="0" distL="0" distR="0" simplePos="0" locked="0" layoutInCell="0" allowOverlap="1" relativeHeight="20">
            <wp:simplePos x="0" y="0"/>
            <wp:positionH relativeFrom="column">
              <wp:posOffset>4388485</wp:posOffset>
            </wp:positionH>
            <wp:positionV relativeFrom="paragraph">
              <wp:posOffset>10160</wp:posOffset>
            </wp:positionV>
            <wp:extent cx="2743200" cy="82042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2"/>
                    <a:stretch>
                      <a:fillRect/>
                    </a:stretch>
                  </pic:blipFill>
                  <pic:spPr bwMode="auto">
                    <a:xfrm>
                      <a:off x="0" y="0"/>
                      <a:ext cx="2743200" cy="820420"/>
                    </a:xfrm>
                    <a:prstGeom prst="rect">
                      <a:avLst/>
                    </a:prstGeom>
                  </pic:spPr>
                </pic:pic>
              </a:graphicData>
            </a:graphic>
          </wp:anchor>
        </w:drawing>
      </w:r>
      <w:r>
        <w:rPr/>
        <w:t xml:space="preserve">Strategic Design </w:t>
      </w:r>
    </w:p>
    <w:p>
      <w:pPr>
        <w:pStyle w:val="Heading3"/>
        <w:bidi w:val="0"/>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23"/>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Assumptions: An existing depository has an existing inventory management system. That system needs to synchronize with the blockchain entries. The inventory system may be usable as the currency blockchain but it's to be determined.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istParagraph"/>
        <w:numPr>
          <w:ilvl w:val="0"/>
          <w:numId w:val="0"/>
        </w:numPr>
        <w:bidi w:val="0"/>
        <w:ind w:left="0" w:hanging="0"/>
        <w:jc w:val="left"/>
        <w:rPr/>
      </w:pPr>
      <w:r>
        <w:rPr/>
      </w:r>
      <w:r>
        <w:br w:type="page"/>
      </w:r>
    </w:p>
    <w:p>
      <w:pPr>
        <w:pStyle w:val="Heading3"/>
        <w:rPr/>
      </w:pPr>
      <w:r>
        <w:rPr/>
        <w:t>Sending A Transaction</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Normal"/>
        <w:bidi w:val="0"/>
        <w:jc w:val="left"/>
        <w:rPr/>
      </w:pPr>
      <w:r>
        <w:rPr/>
        <w:t>Example message:</w:t>
      </w:r>
    </w:p>
    <w:p>
      <w:pPr>
        <w:pStyle w:val="Normal"/>
        <w:bidi w:val="0"/>
        <w:jc w:val="left"/>
        <w:rPr/>
      </w:pPr>
      <w:r>
        <w:rPr/>
      </w:r>
    </w:p>
    <w:p>
      <w:pPr>
        <w:pStyle w:val="TextBody"/>
        <w:bidi w:val="0"/>
        <w:spacing w:lineRule="auto" w:line="276" w:before="0" w:after="140"/>
        <w:jc w:val="left"/>
        <w:rPr/>
      </w:pPr>
      <w:r>
        <w:rPr>
          <w:rStyle w:val="SourceText"/>
        </w:rPr>
        <w:t xml:space="preserve">{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TextBody"/>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Key Manager creates blockchain entry and sends result to Currency.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p>
    <w:p>
      <w:pPr>
        <w:pStyle w:val="ListParagraph"/>
        <w:numPr>
          <w:ilvl w:val="0"/>
          <w:numId w:val="0"/>
        </w:numPr>
        <w:bidi w:val="0"/>
        <w:ind w:left="0" w:hanging="0"/>
        <w:jc w:val="left"/>
        <w:rPr/>
      </w:pPr>
      <w:r>
        <w:rPr/>
      </w:r>
    </w:p>
    <w:p>
      <w:pPr>
        <w:pStyle w:val="Normal"/>
        <w:bidi w:val="0"/>
        <w:jc w:val="left"/>
        <w:rPr/>
      </w:pPr>
      <w:r>
        <w:rPr/>
        <w:t>More information on</w:t>
      </w:r>
      <w:hyperlink r:id="rId24">
        <w:r>
          <w:rPr>
            <w:rStyle w:val="InternetLink"/>
          </w:rPr>
          <w:t xml:space="preserve"> technical details</w:t>
        </w:r>
      </w:hyperlink>
      <w:r>
        <w:rPr/>
        <w:br/>
        <w:t xml:space="preserve">More information on </w:t>
      </w:r>
      <w:hyperlink r:id="rId25">
        <w:r>
          <w:rPr>
            <w:rStyle w:val="InternetLink"/>
          </w:rPr>
          <w:t>AWS implementation</w:t>
        </w:r>
      </w:hyperlink>
    </w:p>
    <w:p>
      <w:pPr>
        <w:pStyle w:val="Normal"/>
        <w:bidi w:val="0"/>
        <w:jc w:val="left"/>
        <w:rPr/>
      </w:pPr>
      <w:r>
        <w:rPr/>
        <w:br/>
        <w:br/>
      </w:r>
    </w:p>
    <w:p>
      <w:pPr>
        <w:pStyle w:val="Normal"/>
        <w:bidi w:val="0"/>
        <w:jc w:val="left"/>
        <w:rPr/>
      </w:pPr>
      <w:r>
        <w:rPr/>
      </w:r>
      <w:r>
        <w:br w:type="page"/>
      </w:r>
    </w:p>
    <w:p>
      <w:pPr>
        <w:pStyle w:val="Heading3"/>
        <w:bidi w:val="0"/>
        <w:jc w:val="left"/>
        <w:rPr/>
      </w:pPr>
      <w:r>
        <w:drawing>
          <wp:anchor behindDoc="0" distT="0" distB="0" distL="0" distR="0" simplePos="0" locked="0" layoutInCell="0" allowOverlap="1" relativeHeight="21">
            <wp:simplePos x="0" y="0"/>
            <wp:positionH relativeFrom="column">
              <wp:posOffset>4389120</wp:posOffset>
            </wp:positionH>
            <wp:positionV relativeFrom="paragraph">
              <wp:posOffset>32385</wp:posOffset>
            </wp:positionV>
            <wp:extent cx="2743200" cy="91440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6"/>
                    <a:stretch>
                      <a:fillRect/>
                    </a:stretch>
                  </pic:blipFill>
                  <pic:spPr bwMode="auto">
                    <a:xfrm>
                      <a:off x="0" y="0"/>
                      <a:ext cx="2743200" cy="914400"/>
                    </a:xfrm>
                    <a:prstGeom prst="rect">
                      <a:avLst/>
                    </a:prstGeom>
                  </pic:spPr>
                </pic:pic>
              </a:graphicData>
            </a:graphic>
          </wp:anchor>
        </w:drawing>
      </w:r>
      <w:r>
        <w:rPr/>
        <w:t xml:space="preserve">Tactical Design </w:t>
      </w:r>
    </w:p>
    <w:p>
      <w:pPr>
        <w:pStyle w:val="Heading3"/>
        <w:bidi w:val="0"/>
        <w:jc w:val="left"/>
        <w:rPr/>
      </w:pPr>
      <w:r>
        <w:rPr/>
      </w:r>
    </w:p>
    <w:p>
      <w:pPr>
        <w:pStyle w:val="Normal"/>
        <w:bidi w:val="0"/>
        <w:jc w:val="left"/>
        <w:rPr/>
      </w:pPr>
      <w:r>
        <w:rPr/>
      </w:r>
    </w:p>
    <w:p>
      <w:pPr>
        <w:pStyle w:val="Normal"/>
        <w:bidi w:val="0"/>
        <w:jc w:val="left"/>
        <w:rPr/>
      </w:pPr>
      <w:r>
        <w:rPr/>
        <w:drawing>
          <wp:inline distT="0" distB="0" distL="0" distR="0">
            <wp:extent cx="5924550" cy="457200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7"/>
                    <a:stretch>
                      <a:fillRect/>
                    </a:stretch>
                  </pic:blipFill>
                  <pic:spPr bwMode="auto">
                    <a:xfrm>
                      <a:off x="0" y="0"/>
                      <a:ext cx="5924550" cy="4572000"/>
                    </a:xfrm>
                    <a:prstGeom prst="rect">
                      <a:avLst/>
                    </a:prstGeom>
                  </pic:spPr>
                </pic:pic>
              </a:graphicData>
            </a:graphic>
          </wp:inline>
        </w:drawing>
      </w:r>
    </w:p>
    <w:p>
      <w:pPr>
        <w:pStyle w:val="Normal"/>
        <w:bidi w:val="0"/>
        <w:jc w:val="left"/>
        <w:rPr/>
      </w:pPr>
      <w:r>
        <w:rPr/>
        <w:t>Three internal domains defined - Guarantee, Action, Reference.</w:t>
      </w:r>
    </w:p>
    <w:p>
      <w:pPr>
        <w:pStyle w:val="Normal"/>
        <w:bidi w:val="0"/>
        <w:jc w:val="left"/>
        <w:rPr/>
      </w:pPr>
      <w:r>
        <w:rPr/>
      </w:r>
    </w:p>
    <w:p>
      <w:pPr>
        <w:pStyle w:val="Normal"/>
        <w:bidi w:val="0"/>
        <w:jc w:val="left"/>
        <w:rPr/>
      </w:pPr>
      <w:r>
        <w:rPr/>
        <w:t>Incoming message is validated with ECC decryption of signer ID. JSON schemas enforce a language-agnostic message definition for 90 to 95% of validation rules. Code functions validate 5 to 10%.</w:t>
      </w:r>
    </w:p>
    <w:p>
      <w:pPr>
        <w:pStyle w:val="Normal"/>
        <w:bidi w:val="0"/>
        <w:jc w:val="left"/>
        <w:rPr/>
      </w:pPr>
      <w:r>
        <w:rPr/>
      </w:r>
    </w:p>
    <w:p>
      <w:pPr>
        <w:pStyle w:val="Normal"/>
        <w:bidi w:val="0"/>
        <w:jc w:val="left"/>
        <w:rPr/>
      </w:pPr>
      <w:r>
        <w:rPr>
          <w:b/>
        </w:rPr>
        <w:t>Guarantee</w:t>
      </w:r>
      <w:r>
        <w:rPr/>
        <w:t xml:space="preserve"> uses AWS SQS queues to guarantee state and execution. Stores the ECC-signed message in its own queue named by unique Msg_ID. This is the only place the original message exists until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into the feeder queue. The controller pulls feeder entries, retrieves the current state of Msg_ID. Current state is fed into state machine which executes the next action. The action pulls the original message, executes, then updates Msg_State. The Msg_ID is re-submitted to the feeder queue for the next iteration by the controller until End_State.</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 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My original design should have had an entry API to issue a unique Msg_ID. This is the initial client call which returns Msg_ID, client adds it to the transaction message before it's signed, making it part of the immutable structure. The Msg_ID has a timestamp and time frame of a few seconds to send the transaction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  There's a coordination issue we can solve with Json schemas.</w:t>
      </w:r>
    </w:p>
    <w:p>
      <w:pPr>
        <w:pStyle w:val="Normal"/>
        <w:bidi w:val="0"/>
        <w:jc w:val="left"/>
        <w:rPr/>
      </w:pPr>
      <w:r>
        <w:rPr/>
      </w:r>
    </w:p>
    <w:p>
      <w:pPr>
        <w:pStyle w:val="Normal"/>
        <w:bidi w:val="0"/>
        <w:jc w:val="left"/>
        <w:rPr/>
      </w:pPr>
      <w:r>
        <w:rPr/>
        <w:t xml:space="preserve">AWS Cloud Formation, </w:t>
      </w:r>
      <w:hyperlink r:id="rId28">
        <w:r>
          <w:rPr>
            <w:rStyle w:val="InternetLink"/>
          </w:rPr>
          <w:t>https://broward.ghost.io/ /aws_app_1/</w:t>
        </w:r>
      </w:hyperlink>
    </w:p>
    <w:p>
      <w:pPr>
        <w:pStyle w:val="Normal"/>
        <w:bidi w:val="0"/>
        <w:jc w:val="left"/>
        <w:rPr/>
      </w:pPr>
      <w:r>
        <w:rPr/>
        <w:t xml:space="preserve">Messaging, </w:t>
      </w:r>
      <w:hyperlink r:id="rId29">
        <w:r>
          <w:rPr>
            <w:rStyle w:val="InternetLink"/>
          </w:rPr>
          <w:t>https://broward.ghost.io/ /aws_app_2/</w:t>
        </w:r>
      </w:hyperlink>
    </w:p>
    <w:p>
      <w:pPr>
        <w:pStyle w:val="Normal"/>
        <w:bidi w:val="0"/>
        <w:jc w:val="left"/>
        <w:rPr/>
      </w:pPr>
      <w:r>
        <w:rPr/>
        <w:t xml:space="preserve">Security, </w:t>
      </w:r>
      <w:hyperlink r:id="rId30">
        <w:r>
          <w:rPr>
            <w:rStyle w:val="InternetLink"/>
          </w:rPr>
          <w:t>https://broward.ghost.io/ /aws_app_9/</w:t>
        </w:r>
      </w:hyperlink>
    </w:p>
    <w:p>
      <w:pPr>
        <w:pStyle w:val="Normal"/>
        <w:bidi w:val="0"/>
        <w:jc w:val="left"/>
        <w:rPr/>
      </w:pPr>
      <w:r>
        <w:rPr/>
        <w:br/>
        <w:br/>
      </w:r>
    </w:p>
    <w:p>
      <w:pPr>
        <w:pStyle w:val="Normal"/>
        <w:bidi w:val="0"/>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4389120</wp:posOffset>
            </wp:positionH>
            <wp:positionV relativeFrom="paragraph">
              <wp:posOffset>45720</wp:posOffset>
            </wp:positionV>
            <wp:extent cx="2743200" cy="91440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1"/>
                    <a:stretch>
                      <a:fillRect/>
                    </a:stretch>
                  </pic:blipFill>
                  <pic:spPr bwMode="auto">
                    <a:xfrm>
                      <a:off x="0" y="0"/>
                      <a:ext cx="2743200" cy="914400"/>
                    </a:xfrm>
                    <a:prstGeom prst="rect">
                      <a:avLst/>
                    </a:prstGeom>
                  </pic:spPr>
                </pic:pic>
              </a:graphicData>
            </a:graphic>
          </wp:anchor>
        </w:drawing>
      </w:r>
      <w:r>
        <w:rPr/>
        <w:t xml:space="preserve">Author </w:t>
      </w:r>
    </w:p>
    <w:p>
      <w:pPr>
        <w:pStyle w:val="Normal"/>
        <w:bidi w:val="0"/>
        <w:jc w:val="left"/>
        <w:rPr/>
      </w:pPr>
      <w:r>
        <w:rPr/>
      </w:r>
    </w:p>
    <w:p>
      <w:pPr>
        <w:pStyle w:val="Normal"/>
        <w:bidi w:val="0"/>
        <w:jc w:val="left"/>
        <w:rPr/>
      </w:pPr>
      <w:r>
        <w:rPr/>
      </w:r>
    </w:p>
    <w:p>
      <w:pPr>
        <w:pStyle w:val="Heading3"/>
        <w:bidi w:val="0"/>
        <w:jc w:val="left"/>
        <w:rPr/>
      </w:pPr>
      <w:r>
        <w:rPr>
          <w:b/>
        </w:rPr>
        <w:t>Overview</w:t>
      </w:r>
      <w:r>
        <w:rPr/>
        <w:t>:</w:t>
      </w:r>
    </w:p>
    <w:p>
      <w:pPr>
        <w:pStyle w:val="Normal"/>
        <w:bidi w:val="0"/>
        <w:jc w:val="left"/>
        <w:rPr/>
      </w:pPr>
      <w:r>
        <w:rPr/>
        <w:t>Thirty-four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2">
        <w:r>
          <w:rPr>
            <w:rStyle w:val="Internet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33">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b/>
          <w:b/>
        </w:rPr>
      </w:pPr>
      <w:r>
        <w:rPr>
          <w:b/>
        </w:rPr>
      </w:r>
      <w:r>
        <w:br w:type="page"/>
      </w:r>
    </w:p>
    <w:p>
      <w:pPr>
        <w:pStyle w:val="Heading4"/>
        <w:bidi w:val="0"/>
        <w:jc w:val="left"/>
        <w:rPr/>
      </w:pPr>
      <w:r>
        <w:rPr>
          <w:b/>
        </w:rPr>
        <w:t>Personal</w:t>
      </w:r>
    </w:p>
    <w:p>
      <w:pPr>
        <w:pStyle w:val="Normal"/>
        <w:bidi w:val="0"/>
        <w:jc w:val="left"/>
        <w:rPr/>
      </w:pPr>
      <w:r>
        <w:rPr/>
        <w:t>I bought my first Krugerrands in 2003, my first Silver Eagles in 2004 and I've kept an interest in precious metals ever since. Below is a palladium sentiment graph I data-mined in 2006. See how the sentiment increase (red) PRECEDED the price increase (blue)?</w:t>
      </w:r>
    </w:p>
    <w:p>
      <w:pPr>
        <w:pStyle w:val="Normal"/>
        <w:bidi w:val="0"/>
        <w:jc w:val="left"/>
        <w:rPr/>
      </w:pPr>
      <w:r>
        <w:rPr/>
        <w:drawing>
          <wp:inline distT="0" distB="0" distL="0" distR="0">
            <wp:extent cx="5924550" cy="481012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4"/>
                    <a:stretch>
                      <a:fillRect/>
                    </a:stretch>
                  </pic:blipFill>
                  <pic:spPr bwMode="auto">
                    <a:xfrm>
                      <a:off x="0" y="0"/>
                      <a:ext cx="5924550" cy="4810125"/>
                    </a:xfrm>
                    <a:prstGeom prst="rect">
                      <a:avLst/>
                    </a:prstGeom>
                  </pic:spPr>
                </pic:pic>
              </a:graphicData>
            </a:graphic>
          </wp:inline>
        </w:drawing>
      </w:r>
    </w:p>
    <w:p>
      <w:pPr>
        <w:pStyle w:val="Heading3"/>
        <w:bidi w:val="0"/>
        <w:jc w:val="left"/>
        <w:rPr/>
      </w:pPr>
      <w:r>
        <w:rPr>
          <w:b/>
        </w:rPr>
        <w:t>Related Materal By Me</w:t>
      </w:r>
    </w:p>
    <w:p>
      <w:pPr>
        <w:pStyle w:val="ListParagraph"/>
        <w:numPr>
          <w:ilvl w:val="0"/>
          <w:numId w:val="0"/>
        </w:numPr>
        <w:ind w:left="420" w:hanging="0"/>
        <w:jc w:val="left"/>
        <w:rPr/>
      </w:pPr>
      <w:r>
        <w:rPr/>
        <w:t>GOLDDIGR White Paper, 2023 (</w:t>
      </w:r>
      <w:hyperlink r:id="rId35">
        <w:r>
          <w:rPr>
            <w:rStyle w:val="InternetLink"/>
          </w:rPr>
          <w:t>https://broward.ghost.io/golddigr/</w:t>
        </w:r>
      </w:hyperlink>
      <w:r>
        <w:rPr/>
        <w:t>)</w:t>
      </w:r>
    </w:p>
    <w:p>
      <w:pPr>
        <w:pStyle w:val="ListParagraph"/>
        <w:numPr>
          <w:ilvl w:val="0"/>
          <w:numId w:val="0"/>
        </w:numPr>
        <w:ind w:left="420" w:hanging="0"/>
        <w:jc w:val="left"/>
        <w:rPr/>
      </w:pPr>
      <w:r>
        <w:rPr/>
        <w:t>Texas Depository, 2023 (</w:t>
      </w:r>
      <w:hyperlink r:id="rId36">
        <w:r>
          <w:rPr>
            <w:rStyle w:val="InternetLink"/>
          </w:rPr>
          <w:t>https://broward.ghost.io/texas_depo</w:t>
        </w:r>
      </w:hyperlink>
      <w:r>
        <w:rPr/>
        <w:t>)</w:t>
      </w:r>
    </w:p>
    <w:p>
      <w:pPr>
        <w:pStyle w:val="ListParagraph"/>
        <w:numPr>
          <w:ilvl w:val="0"/>
          <w:numId w:val="0"/>
        </w:numPr>
        <w:ind w:left="420" w:hanging="0"/>
        <w:jc w:val="left"/>
        <w:rPr/>
      </w:pPr>
      <w:r>
        <w:rPr/>
        <w:t>Stablecoin Hack, 2022 (</w:t>
      </w:r>
      <w:hyperlink r:id="rId37">
        <w:r>
          <w:rPr>
            <w:rStyle w:val="InternetLink"/>
          </w:rPr>
          <w:t>https://broward.ghost.io/stablecoin_hack</w:t>
        </w:r>
      </w:hyperlink>
      <w:r>
        <w:rPr/>
        <w:t>)</w:t>
      </w:r>
    </w:p>
    <w:p>
      <w:pPr>
        <w:pStyle w:val="ListParagraph"/>
        <w:numPr>
          <w:ilvl w:val="0"/>
          <w:numId w:val="0"/>
        </w:numPr>
        <w:ind w:left="420" w:hanging="0"/>
        <w:jc w:val="left"/>
        <w:rPr/>
      </w:pPr>
      <w:r>
        <w:rPr/>
        <w:t>Miner Bankruptcy, 2022 (</w:t>
      </w:r>
      <w:hyperlink r:id="rId38">
        <w:r>
          <w:rPr>
            <w:rStyle w:val="InternetLink"/>
          </w:rPr>
          <w:t>https://broward.ghost.io/miner_bankruptcy</w:t>
        </w:r>
      </w:hyperlink>
      <w:r>
        <w:rPr/>
        <w:t>)</w:t>
      </w:r>
    </w:p>
    <w:p>
      <w:pPr>
        <w:pStyle w:val="ListParagraph"/>
        <w:numPr>
          <w:ilvl w:val="0"/>
          <w:numId w:val="0"/>
        </w:numPr>
        <w:ind w:left="420" w:hanging="0"/>
        <w:jc w:val="left"/>
        <w:rPr/>
      </w:pPr>
      <w:r>
        <w:rPr/>
        <w:t>Polymorphic API, 2022 (</w:t>
      </w:r>
      <w:hyperlink r:id="rId39">
        <w:r>
          <w:rPr>
            <w:rStyle w:val="InternetLink"/>
          </w:rPr>
          <w:t>https://broward.ghost.io/polymorphic_api/</w:t>
        </w:r>
      </w:hyperlink>
      <w:r>
        <w:rPr/>
        <w:t>)</w:t>
      </w:r>
    </w:p>
    <w:p>
      <w:pPr>
        <w:pStyle w:val="ListParagraph"/>
        <w:numPr>
          <w:ilvl w:val="0"/>
          <w:numId w:val="0"/>
        </w:numPr>
        <w:ind w:left="420" w:hanging="0"/>
        <w:jc w:val="left"/>
        <w:rPr/>
      </w:pPr>
      <w:r>
        <w:rPr/>
        <w:t>Bitcoin Death, 2022 (</w:t>
      </w:r>
      <w:hyperlink r:id="rId40">
        <w:r>
          <w:rPr>
            <w:rStyle w:val="InternetLink"/>
          </w:rPr>
          <w:t>https://broward.ghost.io/bitcoin_death</w:t>
        </w:r>
      </w:hyperlink>
      <w:r>
        <w:rPr/>
        <w:t>)</w:t>
      </w:r>
    </w:p>
    <w:p>
      <w:pPr>
        <w:pStyle w:val="ListParagraph"/>
        <w:numPr>
          <w:ilvl w:val="0"/>
          <w:numId w:val="0"/>
        </w:numPr>
        <w:ind w:left="420" w:hanging="0"/>
        <w:jc w:val="left"/>
        <w:rPr/>
      </w:pPr>
      <w:r>
        <w:rPr/>
        <w:t>Crypto Platform, 2020 (</w:t>
      </w:r>
      <w:hyperlink r:id="rId41">
        <w:r>
          <w:rPr>
            <w:rStyle w:val="InternetLink"/>
          </w:rPr>
          <w:t>https://broward.ghost.io/crypto_platform</w:t>
        </w:r>
      </w:hyperlink>
      <w:r>
        <w:rPr/>
        <w:t>)</w:t>
      </w:r>
    </w:p>
    <w:p>
      <w:pPr>
        <w:pStyle w:val="ListParagraph"/>
        <w:numPr>
          <w:ilvl w:val="0"/>
          <w:numId w:val="0"/>
        </w:numPr>
        <w:ind w:left="420" w:hanging="0"/>
        <w:jc w:val="left"/>
        <w:rPr/>
      </w:pPr>
      <w:r>
        <w:rPr/>
        <w:t>Pandemic and Gold, 2020 (</w:t>
      </w:r>
      <w:hyperlink r:id="rId42">
        <w:r>
          <w:rPr>
            <w:rStyle w:val="InternetLink"/>
          </w:rPr>
          <w:t>https://broward.ghost.io/pandemic_and_gold</w:t>
        </w:r>
      </w:hyperlink>
      <w:r>
        <w:rPr/>
        <w:t>)</w:t>
      </w:r>
    </w:p>
    <w:p>
      <w:pPr>
        <w:pStyle w:val="ListParagraph"/>
        <w:numPr>
          <w:ilvl w:val="0"/>
          <w:numId w:val="0"/>
        </w:numPr>
        <w:ind w:left="420" w:hanging="0"/>
        <w:jc w:val="left"/>
        <w:rPr/>
      </w:pPr>
      <w:r>
        <w:rPr/>
        <w:t>Payment System, 2015 (</w:t>
      </w:r>
      <w:hyperlink r:id="rId43">
        <w:r>
          <w:rPr>
            <w:rStyle w:val="InternetLink"/>
          </w:rPr>
          <w:t>https://broward.ghost.io/payment_system</w:t>
        </w:r>
      </w:hyperlink>
      <w:r>
        <w:rPr/>
        <w:t>)</w:t>
      </w:r>
    </w:p>
    <w:p>
      <w:pPr>
        <w:pStyle w:val="ListParagraph"/>
        <w:numPr>
          <w:ilvl w:val="0"/>
          <w:numId w:val="0"/>
        </w:numPr>
        <w:ind w:left="420" w:hanging="0"/>
        <w:jc w:val="left"/>
        <w:rPr/>
      </w:pPr>
      <w:r>
        <w:rPr/>
        <w:t>Bitcoin Scalability, 2015 (</w:t>
      </w:r>
      <w:hyperlink r:id="rId44">
        <w:r>
          <w:rPr>
            <w:rStyle w:val="InternetLink"/>
          </w:rPr>
          <w:t>https://broward.ghost.io/bitcoin_scalability</w:t>
        </w:r>
      </w:hyperlink>
      <w:r>
        <w:rPr/>
        <w:t>)</w:t>
      </w:r>
    </w:p>
    <w:p>
      <w:pPr>
        <w:pStyle w:val="ListParagraph"/>
        <w:numPr>
          <w:ilvl w:val="0"/>
          <w:numId w:val="0"/>
        </w:numPr>
        <w:ind w:left="420" w:hanging="0"/>
        <w:jc w:val="left"/>
        <w:rPr/>
      </w:pPr>
      <w:r>
        <w:rPr/>
        <w:t>Digital Money Trust, 2015 (</w:t>
      </w:r>
      <w:hyperlink r:id="rId45">
        <w:r>
          <w:rPr>
            <w:rStyle w:val="InternetLink"/>
          </w:rPr>
          <w:t>https://broward.ghost.io/digital_money_trust</w:t>
        </w:r>
      </w:hyperlink>
      <w:r>
        <w:rPr/>
        <w:t>)</w:t>
      </w:r>
    </w:p>
    <w:p>
      <w:pPr>
        <w:pStyle w:val="ListParagraph"/>
        <w:numPr>
          <w:ilvl w:val="0"/>
          <w:numId w:val="0"/>
        </w:numPr>
        <w:bidi w:val="0"/>
        <w:ind w:left="420" w:hanging="0"/>
        <w:jc w:val="left"/>
        <w:rPr/>
      </w:pPr>
      <w:r>
        <w:rPr/>
        <w:t>Jing Currency on IoT, 2014 (</w:t>
      </w:r>
      <w:hyperlink r:id="rId46">
        <w:r>
          <w:rPr>
            <w:rStyle w:val="InternetLink"/>
          </w:rPr>
          <w:t>https://broward.ghost.io/digital_on_IoT</w:t>
        </w:r>
      </w:hyperlink>
      <w:r>
        <w:rPr/>
        <w:t>)</w:t>
      </w:r>
    </w:p>
    <w:p>
      <w:pPr>
        <w:pStyle w:val="Normal"/>
        <w:bidi w:val="0"/>
        <w:jc w:val="left"/>
        <w:rPr/>
      </w:pPr>
      <w:r>
        <w:rPr/>
      </w:r>
    </w:p>
    <w:sectPr>
      <w:headerReference w:type="default" r:id="rId47"/>
      <w:type w:val="nextPage"/>
      <w:pgSz w:w="12240" w:h="15840"/>
      <w:pgMar w:left="1008" w:right="1008" w:gutter="0" w:header="720" w:top="1282"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Monaco">
    <w:altName w:val="monospace"/>
    <w:charset w:val="01"/>
    <w:family w:val="roman"/>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2"/>
    <w:lvlOverride w:ilvl="0">
      <w:startOverride w:val="1"/>
    </w:lvlOverride>
  </w:num>
  <w:num w:numId="15">
    <w:abstractNumId w:val="2"/>
  </w:num>
  <w:num w:numId="16">
    <w:abstractNumId w:val="2"/>
    <w:lvlOverride w:ilvl="0">
      <w:startOverride w:val="1"/>
    </w:lvlOverride>
  </w:num>
  <w:num w:numId="17">
    <w:abstractNumId w:val="2"/>
  </w:num>
  <w:num w:numId="18">
    <w:abstractNumId w:val="2"/>
  </w:num>
  <w:num w:numId="19">
    <w:abstractNumId w:val="2"/>
  </w:num>
  <w:num w:numId="20">
    <w:abstractNumId w:val="2"/>
  </w:num>
  <w:num w:numId="21">
    <w:abstractNumId w:val="2"/>
  </w:num>
  <w:num w:numId="22">
    <w:abstractNumId w:val="2"/>
    <w:lvlOverride w:ilvl="0">
      <w:startOverride w:val="1"/>
    </w:lvlOverride>
  </w:num>
  <w:num w:numId="23">
    <w:abstractNumId w:val="2"/>
  </w:num>
  <w:num w:numId="24">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2" w:after="115"/>
      <w:outlineLvl w:val="3"/>
    </w:pPr>
    <w:rPr>
      <w:rFonts w:ascii="Times New Roman" w:hAnsi="Times New Roman" w:eastAsia="" w:cs="" w:cstheme="majorBidi" w:eastAsiaTheme="majorEastAsia"/>
      <w:b/>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76" w:before="0" w:after="140"/>
    </w:pPr>
    <w:rPr>
      <w:color w:val="FF0000"/>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yperlink" Target="https://fredblog.stlouisfed.org/2018/03/the-cost-of-owing" TargetMode="Externa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www.soundmoneydefense.org/"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hyperlink" Target="https://docs.silamoney.com/docs" TargetMode="Externa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hyperlink" Target="https://broward.ghost.io/golddigr/tactical/" TargetMode="External"/><Relationship Id="rId25" Type="http://schemas.openxmlformats.org/officeDocument/2006/relationships/hyperlink" Target="https://broward.ghost.io/ /aws_app_1" TargetMode="External"/><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hyperlink" Target="https://broward.ghost.io/ /aws_app_1/" TargetMode="External"/><Relationship Id="rId29" Type="http://schemas.openxmlformats.org/officeDocument/2006/relationships/hyperlink" Target="https://broward.ghost.io/ /aws_app_2/" TargetMode="External"/><Relationship Id="rId30" Type="http://schemas.openxmlformats.org/officeDocument/2006/relationships/hyperlink" Target="https://broward.ghost.io/ /aws_app_9/" TargetMode="External"/><Relationship Id="rId31" Type="http://schemas.openxmlformats.org/officeDocument/2006/relationships/image" Target="media/image20.png"/><Relationship Id="rId32" Type="http://schemas.openxmlformats.org/officeDocument/2006/relationships/hyperlink" Target="https://www.ugpti.org/research/details.php?id=93" TargetMode="External"/><Relationship Id="rId33" Type="http://schemas.openxmlformats.org/officeDocument/2006/relationships/hyperlink" Target="https://docs.silamoney.com/docs" TargetMode="External"/><Relationship Id="rId34" Type="http://schemas.openxmlformats.org/officeDocument/2006/relationships/image" Target="media/image21.jpeg"/><Relationship Id="rId35" Type="http://schemas.openxmlformats.org/officeDocument/2006/relationships/hyperlink" Target="https://broward.ghost.io/golddigr/" TargetMode="External"/><Relationship Id="rId36" Type="http://schemas.openxmlformats.org/officeDocument/2006/relationships/hyperlink" Target="https://broward.ghost.io/texas_depo" TargetMode="External"/><Relationship Id="rId37" Type="http://schemas.openxmlformats.org/officeDocument/2006/relationships/hyperlink" Target="https://broward.ghost.io/stablecoin_hack" TargetMode="External"/><Relationship Id="rId38" Type="http://schemas.openxmlformats.org/officeDocument/2006/relationships/hyperlink" Target="https://broward.ghost.io/miner_bankruptcy" TargetMode="External"/><Relationship Id="rId39" Type="http://schemas.openxmlformats.org/officeDocument/2006/relationships/hyperlink" Target="https://broward.ghost.io/polymorphic_api/" TargetMode="External"/><Relationship Id="rId40" Type="http://schemas.openxmlformats.org/officeDocument/2006/relationships/hyperlink" Target="https://broward.ghost.io/bitcoin_death" TargetMode="External"/><Relationship Id="rId41" Type="http://schemas.openxmlformats.org/officeDocument/2006/relationships/hyperlink" Target="https://broward.ghost.io/crypto_platform" TargetMode="External"/><Relationship Id="rId42" Type="http://schemas.openxmlformats.org/officeDocument/2006/relationships/hyperlink" Target="https://broward.ghost.io/pandemic_and_gold" TargetMode="External"/><Relationship Id="rId43" Type="http://schemas.openxmlformats.org/officeDocument/2006/relationships/hyperlink" Target="https://broward.ghost.io/payment_system" TargetMode="External"/><Relationship Id="rId44" Type="http://schemas.openxmlformats.org/officeDocument/2006/relationships/hyperlink" Target="https://broward.ghost.io/bitcoin_scalability" TargetMode="External"/><Relationship Id="rId45" Type="http://schemas.openxmlformats.org/officeDocument/2006/relationships/hyperlink" Target="https://broward.ghost.io/digital_money_trust" TargetMode="External"/><Relationship Id="rId46" Type="http://schemas.openxmlformats.org/officeDocument/2006/relationships/hyperlink" Target="https://broward.ghost.io/digital_on_IoT" TargetMode="External"/><Relationship Id="rId47" Type="http://schemas.openxmlformats.org/officeDocument/2006/relationships/header" Target="head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TotalTime>
  <Application>LibreOffice/7.3.7.2$Linux_X86_64 LibreOffice_project/30$Build-2</Application>
  <AppVersion>15.0000</AppVersion>
  <Pages>14</Pages>
  <Words>1872</Words>
  <Characters>11081</Characters>
  <CharactersWithSpaces>12910</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2023-05-07T17:57:12Z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file>