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lineRule="auto" w:line="240" w:before="0" w:after="115"/>
        <w:jc w:val="left"/>
        <w:rPr>
          <w:color w:val="5B9BD5"/>
        </w:rPr>
      </w:pPr>
      <w:r>
        <w:drawing>
          <wp:anchor behindDoc="0" distT="0" distB="0" distL="0" distR="0" simplePos="0" locked="0" layoutInCell="0" allowOverlap="1" relativeHeight="8">
            <wp:simplePos x="0" y="0"/>
            <wp:positionH relativeFrom="column">
              <wp:posOffset>5474970</wp:posOffset>
            </wp:positionH>
            <wp:positionV relativeFrom="paragraph">
              <wp:posOffset>152400</wp:posOffset>
            </wp:positionV>
            <wp:extent cx="914400" cy="914400"/>
            <wp:effectExtent l="0" t="0" r="0" b="0"/>
            <wp:wrapSquare wrapText="bothSides"/>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2025, Ver 8</w:t>
      </w:r>
    </w:p>
    <w:p>
      <w:pPr>
        <w:pStyle w:val="Heading2"/>
        <w:rPr/>
      </w:pPr>
      <w:r>
        <w:rPr/>
        <w:t>Broward Horne, Tallahassee, FL</w:t>
      </w:r>
    </w:p>
    <w:p>
      <w:pPr>
        <w:pStyle w:val="Heading2"/>
        <w:rPr/>
      </w:pPr>
      <w:hyperlink r:id="rId3">
        <w:r>
          <w:rPr>
            <w:rStyle w:val="ListLabel19"/>
            <w:color w:val="0000EE"/>
            <w:u w:val="single"/>
          </w:rPr>
          <w:t>browardhorne@gmail.com</w:t>
        </w:r>
      </w:hyperlink>
    </w:p>
    <w:p>
      <w:pPr>
        <w:pStyle w:val="Heading2"/>
        <w:rPr/>
      </w:pPr>
      <w:hyperlink r:id="rId4">
        <w:r>
          <w:rPr>
            <w:rStyle w:val="ListLabel19"/>
            <w:color w:val="0000EE"/>
            <w:u w:val="single"/>
          </w:rPr>
          <w:t>https://broward.ghost.io/token/</w:t>
        </w:r>
      </w:hyperlink>
    </w:p>
    <w:p>
      <w:pPr>
        <w:pStyle w:val="normal1"/>
        <w:jc w:val="center"/>
        <w:rPr/>
      </w:pPr>
      <w:r>
        <w:rPr/>
        <w:br/>
        <w:t xml:space="preserve">               </w:t>
      </w:r>
      <w:r>
        <w:drawing>
          <wp:anchor behindDoc="0" distT="0" distB="0" distL="0" distR="0" simplePos="0" locked="0" layoutInCell="0" allowOverlap="1" relativeHeight="7">
            <wp:simplePos x="0" y="0"/>
            <wp:positionH relativeFrom="column">
              <wp:posOffset>5678170</wp:posOffset>
            </wp:positionH>
            <wp:positionV relativeFrom="paragraph">
              <wp:posOffset>66675</wp:posOffset>
            </wp:positionV>
            <wp:extent cx="508635" cy="50165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
                    <a:stretch>
                      <a:fillRect/>
                    </a:stretch>
                  </pic:blipFill>
                  <pic:spPr bwMode="auto">
                    <a:xfrm>
                      <a:off x="0" y="0"/>
                      <a:ext cx="508635" cy="501650"/>
                    </a:xfrm>
                    <a:prstGeom prst="rect">
                      <a:avLst/>
                    </a:prstGeom>
                  </pic:spPr>
                </pic:pic>
              </a:graphicData>
            </a:graphic>
          </wp:anchor>
        </w:drawing>
      </w:r>
      <w:r>
        <w:rPr>
          <w:b/>
          <w:color w:val="FF5429"/>
          <w:sz w:val="32"/>
          <w:szCs w:val="32"/>
        </w:rPr>
        <w:t xml:space="preserve">”Control crypto before crypto controls you” </w:t>
      </w:r>
    </w:p>
    <w:p>
      <w:pPr>
        <w:pStyle w:val="Heading3"/>
        <w:rPr/>
      </w:pPr>
      <w:r>
        <w:rPr>
          <w:b/>
        </w:rPr>
        <w:t>Abstract</w:t>
      </w:r>
      <w:r>
        <w:rPr/>
        <w:t>:</w:t>
      </w:r>
    </w:p>
    <w:p>
      <w:pPr>
        <w:pStyle w:val="normal1"/>
        <w:jc w:val="left"/>
        <w:rPr/>
      </w:pPr>
      <w:r>
        <w:rPr/>
        <w:t xml:space="preserve">This paper contains a proposal for a </w:t>
      </w:r>
      <w:r>
        <w:rPr>
          <w:b/>
        </w:rPr>
        <w:t>State Token Platform (STP)</w:t>
      </w:r>
      <w:r>
        <w:rPr/>
        <w:t xml:space="preserve"> backed by a State-regulated depository similar to </w:t>
      </w:r>
      <w:hyperlink r:id="rId6">
        <w:r>
          <w:rPr>
            <w:rStyle w:val="Hyperlink"/>
          </w:rPr>
          <w:t xml:space="preserve">Arkansas Act 810 </w:t>
        </w:r>
      </w:hyperlink>
      <w:r>
        <w:rPr/>
        <w:t xml:space="preserve">and Texas </w:t>
      </w:r>
      <w:hyperlink r:id="rId7">
        <w:r>
          <w:rPr>
            <w:rStyle w:val="Hyperlink"/>
            <w:color w:val="0000EE"/>
            <w:u w:val="single"/>
          </w:rPr>
          <w:t>House Bill 1056</w:t>
        </w:r>
      </w:hyperlink>
      <w:r>
        <w:rPr/>
        <w:t xml:space="preserve"> , including an overview of historical forces, strategic roadmap and system design.  </w:t>
      </w:r>
      <w:r>
        <w:rPr>
          <w:b w:val="false"/>
        </w:rPr>
        <w:t xml:space="preserve">My goal is to create a production system via State funding, grants,  etc.  With today’s AI, three people could build this in three months.   </w:t>
      </w:r>
      <w:hyperlink r:id="rId8">
        <w:r>
          <w:rPr>
            <w:rStyle w:val="ListLabel22"/>
            <w:b w:val="false"/>
            <w:color w:val="0000EE"/>
            <w:u w:val="single"/>
          </w:rPr>
          <w:t xml:space="preserve">My_background is </w:t>
        </w:r>
      </w:hyperlink>
      <w:hyperlink r:id="rId9">
        <w:r>
          <w:rPr>
            <w:rStyle w:val="ListLabel19"/>
            <w:color w:val="0000EE"/>
            <w:u w:val="single"/>
          </w:rPr>
          <w:t>eclectic</w:t>
        </w:r>
      </w:hyperlink>
      <w:r>
        <w:rPr>
          <w:b w:val="false"/>
        </w:rPr>
        <w:t xml:space="preserve"> and spans startups,  corporations‚ State and Federal systems for 35 years.  </w:t>
      </w:r>
    </w:p>
    <w:p>
      <w:pPr>
        <w:pStyle w:val="normal1"/>
        <w:jc w:val="left"/>
        <w:rPr>
          <w:b w:val="false"/>
        </w:rPr>
      </w:pPr>
      <w:r>
        <w:rPr>
          <w:b w:val="false"/>
        </w:rPr>
      </w:r>
    </w:p>
    <w:p>
      <w:pPr>
        <w:pStyle w:val="normal1"/>
        <w:jc w:val="left"/>
        <w:rPr/>
      </w:pPr>
      <w:r>
        <w:rPr>
          <w:b w:val="false"/>
        </w:rPr>
        <w:t xml:space="preserve">Design and code for </w:t>
      </w:r>
      <w:hyperlink r:id="rId10">
        <w:r>
          <w:rPr>
            <w:rStyle w:val="ListLabel22"/>
            <w:b w:val="false"/>
            <w:color w:val="0000EE"/>
            <w:u w:val="single"/>
          </w:rPr>
          <w:t>a prototype system</w:t>
        </w:r>
      </w:hyperlink>
      <w:r>
        <w:rPr>
          <w:b w:val="false"/>
        </w:rPr>
        <w:t xml:space="preserve"> is at </w:t>
      </w:r>
      <w:hyperlink r:id="rId11">
        <w:r>
          <w:rPr>
            <w:rStyle w:val="ListLabel22"/>
            <w:b w:val="false"/>
            <w:color w:val="0000EE"/>
            <w:u w:val="single"/>
          </w:rPr>
          <w:t>https://github.com/broward/token</w:t>
        </w:r>
      </w:hyperlink>
      <w:r>
        <w:rPr>
          <w:b w:val="false"/>
          <w:color w:val="0000EE"/>
          <w:u w:val="single"/>
        </w:rPr>
        <w:t>.</w:t>
      </w:r>
    </w:p>
    <w:p>
      <w:pPr>
        <w:pStyle w:val="normal1"/>
        <w:jc w:val="left"/>
        <w:rPr>
          <w:color w:val="333333"/>
        </w:rPr>
      </w:pPr>
      <w:r>
        <w:rPr>
          <w:color w:val="333333"/>
        </w:rPr>
      </w:r>
    </w:p>
    <w:p>
      <w:pPr>
        <w:pStyle w:val="normal1"/>
        <w:widowControl/>
        <w:spacing w:lineRule="auto" w:line="240" w:before="0" w:after="0"/>
        <w:ind w:hanging="0" w:left="0" w:right="0"/>
        <w:jc w:val="left"/>
        <w:rPr>
          <w:b w:val="false"/>
          <w:color w:val="333333"/>
          <w:u w:val="none"/>
        </w:rPr>
      </w:pPr>
      <w:r>
        <w:rPr>
          <w:b w:val="false"/>
          <w:color w:val="333333"/>
          <w:u w:val="none"/>
        </w:rPr>
      </w:r>
    </w:p>
    <w:p>
      <w:pPr>
        <w:pStyle w:val="Heading4"/>
        <w:spacing w:lineRule="auto" w:line="240" w:before="0" w:after="115"/>
        <w:jc w:val="left"/>
        <w:rPr/>
      </w:pPr>
      <w:r>
        <w:rPr>
          <w:b w:val="false"/>
          <w:i w:val="false"/>
          <w:caps w:val="false"/>
          <w:smallCaps w:val="false"/>
          <w:color w:val="0000FF"/>
          <w:sz w:val="24"/>
          <w:szCs w:val="24"/>
        </w:rPr>
        <w:t xml:space="preserve">Law Of Demeter </w:t>
      </w:r>
      <w:r>
        <w:rPr>
          <w:b w:val="false"/>
          <w:i w:val="false"/>
          <w:caps w:val="false"/>
          <w:smallCaps w:val="false"/>
          <w:color w:val="000000"/>
          <w:sz w:val="24"/>
          <w:szCs w:val="24"/>
        </w:rPr>
        <w:t>is a systems design principle to reduce complexity and optimize efficiency.  It states “</w:t>
      </w:r>
      <w:r>
        <w:rPr>
          <w:b w:val="false"/>
          <w:i w:val="false"/>
          <w:caps w:val="false"/>
          <w:smallCaps w:val="false"/>
          <w:color w:val="333333"/>
          <w:sz w:val="24"/>
          <w:szCs w:val="24"/>
        </w:rPr>
        <w:t>An object should have minimal knowledge (dependencies) of other objects; paraphrased it says that "closer is better".</w:t>
      </w:r>
    </w:p>
    <w:p>
      <w:pPr>
        <w:pStyle w:val="Heading4"/>
        <w:spacing w:lineRule="auto" w:line="240" w:before="0" w:after="115"/>
        <w:jc w:val="left"/>
        <w:rPr>
          <w:rFonts w:ascii="Times New Roman" w:hAnsi="Times New Roman" w:eastAsia="Times New Roman" w:cs="Times New Roman"/>
          <w:b w:val="false"/>
          <w:i w:val="false"/>
          <w:i w:val="false"/>
          <w:caps w:val="false"/>
          <w:smallCaps w:val="false"/>
          <w:color w:val="333333"/>
          <w:sz w:val="24"/>
          <w:szCs w:val="24"/>
        </w:rPr>
      </w:pPr>
      <w:r>
        <w:rPr>
          <w:rFonts w:eastAsia="Times New Roman" w:cs="Times New Roman"/>
          <w:b w:val="false"/>
          <w:i w:val="false"/>
          <w:caps w:val="false"/>
          <w:smallCaps w:val="false"/>
          <w:color w:val="333333"/>
          <w:sz w:val="24"/>
          <w:szCs w:val="24"/>
        </w:rPr>
      </w:r>
    </w:p>
    <w:p>
      <w:pPr>
        <w:pStyle w:val="Heading4"/>
        <w:spacing w:lineRule="auto" w:line="240" w:before="0" w:after="115"/>
        <w:jc w:val="left"/>
        <w:rPr/>
      </w:pPr>
      <w:r>
        <w:rPr>
          <w:b w:val="false"/>
          <w:i w:val="false"/>
          <w:caps w:val="false"/>
          <w:smallCaps w:val="false"/>
          <w:color w:val="0000FF"/>
          <w:sz w:val="24"/>
          <w:szCs w:val="24"/>
        </w:rPr>
        <w:t xml:space="preserve">Buddhist Economics </w:t>
      </w:r>
      <w:r>
        <w:rPr>
          <w:b w:val="false"/>
          <w:i w:val="false"/>
          <w:caps w:val="false"/>
          <w:smallCaps w:val="false"/>
          <w:color w:val="000000"/>
          <w:sz w:val="24"/>
          <w:szCs w:val="24"/>
        </w:rPr>
        <w:t>is a similar design paradigm which states</w:t>
      </w:r>
      <w:r>
        <w:rPr>
          <w:b w:val="false"/>
          <w:i w:val="false"/>
          <w:caps w:val="false"/>
          <w:smallCaps w:val="false"/>
          <w:color w:val="0000FF"/>
          <w:sz w:val="24"/>
          <w:szCs w:val="24"/>
        </w:rPr>
        <w:t xml:space="preserve"> “</w:t>
      </w:r>
      <w:r>
        <w:rPr>
          <w:b w:val="false"/>
          <w:i w:val="false"/>
          <w:caps w:val="false"/>
          <w:smallCaps w:val="false"/>
          <w:color w:val="333333"/>
          <w:sz w:val="24"/>
          <w:szCs w:val="24"/>
        </w:rPr>
        <w:t>production from local resources for local needs is the most rational way of economic life... imports from afar.. are uneconomical... exceptional cases".   You design successful systems around commonality, not exceptions.</w:t>
      </w:r>
    </w:p>
    <w:p>
      <w:pPr>
        <w:pStyle w:val="normal1"/>
        <w:jc w:val="left"/>
        <w:rPr>
          <w:b w:val="false"/>
          <w:color w:val="0000FF"/>
        </w:rPr>
      </w:pPr>
      <w:r>
        <w:rPr>
          <w:b w:val="false"/>
          <w:color w:val="0000FF"/>
        </w:rPr>
      </w:r>
    </w:p>
    <w:p>
      <w:pPr>
        <w:pStyle w:val="normal1"/>
        <w:jc w:val="left"/>
        <w:rPr/>
      </w:pPr>
      <w:r>
        <w:rPr>
          <w:b w:val="false"/>
          <w:color w:val="0000FF"/>
        </w:rPr>
        <w:t>Parasocial relationships</w:t>
      </w:r>
      <w:r>
        <w:rPr>
          <w:b w:val="false"/>
        </w:rPr>
        <w:t xml:space="preserve"> are one-sided, where one party extends energy and time with the other party unaware of the other’s existence.  </w:t>
      </w:r>
      <w:r>
        <w:rPr>
          <w:rFonts w:eastAsia="Times New Roman" w:cs="Times New Roman"/>
          <w:b w:val="false"/>
          <w:i w:val="false"/>
          <w:caps w:val="false"/>
          <w:smallCaps w:val="false"/>
          <w:color w:val="333333"/>
          <w:sz w:val="24"/>
          <w:szCs w:val="24"/>
        </w:rPr>
        <w:t>The dollar is an increasingly parasocial relationship which transfers value from citizens to an elite minority, just as a celebrity profits from fans with no knowledge or concern for them.</w:t>
      </w:r>
    </w:p>
    <w:p>
      <w:pPr>
        <w:pStyle w:val="Heading3"/>
        <w:rPr/>
      </w:pPr>
      <w:r>
        <w:rPr/>
        <w:t>STP Overview</w:t>
      </w:r>
    </w:p>
    <w:p>
      <w:pPr>
        <w:pStyle w:val="normal1"/>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STP.</w:t>
      </w:r>
    </w:p>
    <w:p>
      <w:pPr>
        <w:pStyle w:val="normal1"/>
        <w:rPr/>
      </w:pPr>
      <w:r>
        <w:rPr/>
        <w:drawing>
          <wp:anchor behindDoc="0" distT="0" distB="0" distL="0" distR="0" simplePos="0" locked="0" layoutInCell="0" allowOverlap="1" relativeHeight="9">
            <wp:simplePos x="0" y="0"/>
            <wp:positionH relativeFrom="column">
              <wp:align>center</wp:align>
            </wp:positionH>
            <wp:positionV relativeFrom="paragraph">
              <wp:posOffset>180975</wp:posOffset>
            </wp:positionV>
            <wp:extent cx="6894830" cy="24003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6894830" cy="2400300"/>
                    </a:xfrm>
                    <a:prstGeom prst="rect">
                      <a:avLst/>
                    </a:prstGeom>
                  </pic:spPr>
                </pic:pic>
              </a:graphicData>
            </a:graphic>
          </wp:anchor>
        </w:drawing>
      </w:r>
    </w:p>
    <w:p>
      <w:pPr>
        <w:pStyle w:val="normal1"/>
        <w:rPr>
          <w:rFonts w:ascii="Times New Roman" w:hAnsi="Times New Roman" w:eastAsia="Times New Roman" w:cs="Times New Roman"/>
          <w:b w:val="false"/>
          <w:i w:val="false"/>
          <w:i w:val="false"/>
          <w:caps w:val="false"/>
          <w:smallCaps w:val="false"/>
          <w:color w:val="18A303"/>
          <w:sz w:val="24"/>
          <w:szCs w:val="24"/>
        </w:rPr>
      </w:pPr>
      <w:r>
        <w:rPr>
          <w:rFonts w:eastAsia="Times New Roman" w:cs="Times New Roman"/>
          <w:b w:val="false"/>
          <w:i w:val="false"/>
          <w:caps w:val="false"/>
          <w:smallCaps w:val="false"/>
          <w:color w:val="18A303"/>
          <w:sz w:val="24"/>
          <w:szCs w:val="24"/>
        </w:rPr>
      </w:r>
    </w:p>
    <w:p>
      <w:pPr>
        <w:pStyle w:val="Heading4"/>
        <w:spacing w:lineRule="auto" w:line="240" w:before="0" w:after="115"/>
        <w:jc w:val="left"/>
        <w:rPr/>
      </w:pPr>
      <w:r>
        <w:rPr>
          <w:b/>
        </w:rPr>
        <w:t>Impedance-Matched Token</w:t>
      </w:r>
    </w:p>
    <w:p>
      <w:pPr>
        <w:pStyle w:val="normal1"/>
        <w:jc w:val="left"/>
        <w:rPr/>
      </w:pPr>
      <w:r>
        <w:rPr/>
        <w:t>The Euro is somewhat like harnessing a horse, a mule, a dog and a turtle to pull a wagon. A "one size fits all" strategy creates stresses because regions have different resources, skills, goals. Most economic transactions are local and an STP would be controlled locally.</w:t>
      </w:r>
    </w:p>
    <w:p>
      <w:pPr>
        <w:pStyle w:val="normal1"/>
        <w:jc w:val="left"/>
        <w:rPr/>
      </w:pPr>
      <w:r>
        <w:rPr/>
        <w:drawing>
          <wp:anchor behindDoc="0" distT="0" distB="0" distL="0" distR="0" simplePos="0" locked="0" layoutInCell="0" allowOverlap="1" relativeHeight="6">
            <wp:simplePos x="0" y="0"/>
            <wp:positionH relativeFrom="column">
              <wp:posOffset>487045</wp:posOffset>
            </wp:positionH>
            <wp:positionV relativeFrom="paragraph">
              <wp:posOffset>138430</wp:posOffset>
            </wp:positionV>
            <wp:extent cx="5920740" cy="3683000"/>
            <wp:effectExtent l="0" t="0" r="0" b="0"/>
            <wp:wrapSquare wrapText="bothSides"/>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13"/>
                    <a:stretch>
                      <a:fillRect/>
                    </a:stretch>
                  </pic:blipFill>
                  <pic:spPr bwMode="auto">
                    <a:xfrm>
                      <a:off x="0" y="0"/>
                      <a:ext cx="5920740" cy="368300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t>An STP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1"/>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142875</wp:posOffset>
            </wp:positionV>
            <wp:extent cx="4600575" cy="25412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4600575" cy="254127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hyperlink r:id="rId15">
        <w:r>
          <w:rPr>
            <w:rStyle w:val="ListLabel19"/>
            <w:color w:val="0000EE"/>
            <w:u w:val="single"/>
          </w:rPr>
          <w:t>Link to Regional Development Strategy</w:t>
        </w:r>
      </w:hyperlink>
    </w:p>
    <w:p>
      <w:pPr>
        <w:pStyle w:val="normal1"/>
        <w:jc w:val="left"/>
        <w:rPr/>
      </w:pPr>
      <w:r>
        <w:rPr/>
      </w:r>
    </w:p>
    <w:p>
      <w:pPr>
        <w:pStyle w:val="normal1"/>
        <w:jc w:val="left"/>
        <w:rPr/>
      </w:pPr>
      <w:hyperlink r:id="rId16">
        <w:r>
          <w:rPr>
            <w:rStyle w:val="ListLabel19"/>
            <w:color w:val="0000EE"/>
            <w:u w:val="single"/>
          </w:rPr>
          <w:t>Link to State Exchange System</w:t>
        </w:r>
      </w:hyperlink>
    </w:p>
    <w:p>
      <w:pPr>
        <w:pStyle w:val="normal1"/>
        <w:jc w:val="left"/>
        <w:rPr>
          <w:color w:val="0000EE"/>
          <w:u w:val="single"/>
        </w:rPr>
      </w:pPr>
      <w:r>
        <w:rPr>
          <w:color w:val="0000EE"/>
          <w:u w:val="single"/>
        </w:rPr>
      </w:r>
    </w:p>
    <w:p>
      <w:pPr>
        <w:pStyle w:val="normal1"/>
        <w:jc w:val="left"/>
        <w:rPr/>
      </w:pPr>
      <w:hyperlink r:id="rId17">
        <w:r>
          <w:rPr>
            <w:rStyle w:val="ListLabel19"/>
            <w:color w:val="0000EE"/>
            <w:u w:val="single"/>
          </w:rPr>
          <w:t>Link to Nationwide Pending Legislation for 2025</w:t>
        </w:r>
      </w:hyperlink>
      <w:r>
        <w:br w:type="page"/>
      </w:r>
    </w:p>
    <w:p>
      <w:pPr>
        <w:pStyle w:val="Heading3"/>
        <w:spacing w:lineRule="auto" w:line="240" w:before="0" w:after="115"/>
        <w:jc w:val="left"/>
        <w:rPr/>
      </w:pPr>
      <w:r>
        <w:rPr/>
        <w:t xml:space="preserve">Historical Background </w:t>
      </w:r>
    </w:p>
    <w:p>
      <w:pPr>
        <w:pStyle w:val="normal1"/>
        <w:jc w:val="left"/>
        <w:rPr>
          <w:b w:val="false"/>
        </w:rPr>
      </w:pPr>
      <w:r>
        <w:rPr>
          <w:b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1"/>
        <w:jc w:val="left"/>
        <w:rPr>
          <w:b/>
        </w:rPr>
      </w:pPr>
      <w:r>
        <w:rPr>
          <w:b/>
        </w:rPr>
      </w:r>
    </w:p>
    <w:p>
      <w:pPr>
        <w:pStyle w:val="Heading3"/>
        <w:spacing w:lineRule="auto" w:line="240" w:before="0" w:after="115"/>
        <w:jc w:val="left"/>
        <w:rPr/>
      </w:pPr>
      <w:r>
        <w:rPr>
          <w:b/>
        </w:rPr>
        <w:t>Gold Standard</w:t>
      </w:r>
    </w:p>
    <w:p>
      <w:pPr>
        <w:pStyle w:val="normal1"/>
        <w:jc w:val="left"/>
        <w:rPr/>
      </w:pPr>
      <w:r>
        <w:rPr/>
        <w:t>The longest period in modern history without a gold standard is now; from 1971 to 2024 or 53 years. The last major gold standard system was the Bretton Woods system, which operated from 1944 to 1971. The United States briefly abandoned its gold standard in unusual situations (Civil war, World War 1, etc). Russia's and China’s central banks has steadily increased gold reserves since 2009 to over 5,000 metric tons.</w:t>
      </w:r>
    </w:p>
    <w:p>
      <w:pPr>
        <w:pStyle w:val="Heading3"/>
        <w:jc w:val="left"/>
        <w:rPr/>
      </w:pPr>
      <w:r>
        <w:rPr>
          <w:b/>
        </w:rPr>
        <w:t>Hegemony</w:t>
      </w:r>
    </w:p>
    <w:p>
      <w:pPr>
        <w:pStyle w:val="normal1"/>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1"/>
        <w:jc w:val="left"/>
        <w:rPr/>
      </w:pPr>
      <w:r>
        <w:rPr/>
      </w:r>
    </w:p>
    <w:p>
      <w:pPr>
        <w:pStyle w:val="Heading3"/>
        <w:jc w:val="left"/>
        <w:rPr/>
      </w:pPr>
      <w:r>
        <w:drawing>
          <wp:anchor behindDoc="0" distT="0" distB="0" distL="0" distR="0" simplePos="0" locked="0" layoutInCell="0" allowOverlap="1" relativeHeight="5">
            <wp:simplePos x="0" y="0"/>
            <wp:positionH relativeFrom="column">
              <wp:posOffset>292100</wp:posOffset>
            </wp:positionH>
            <wp:positionV relativeFrom="paragraph">
              <wp:posOffset>635</wp:posOffset>
            </wp:positionV>
            <wp:extent cx="6309995" cy="1937385"/>
            <wp:effectExtent l="0" t="0" r="0" b="0"/>
            <wp:wrapSquare wrapText="bothSides"/>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8"/>
                    <a:stretch>
                      <a:fillRect/>
                    </a:stretch>
                  </pic:blipFill>
                  <pic:spPr bwMode="auto">
                    <a:xfrm>
                      <a:off x="0" y="0"/>
                      <a:ext cx="6309995" cy="1937385"/>
                    </a:xfrm>
                    <a:prstGeom prst="rect">
                      <a:avLst/>
                    </a:prstGeom>
                  </pic:spPr>
                </pic:pic>
              </a:graphicData>
            </a:graphic>
          </wp:anchor>
        </w:drawing>
      </w:r>
      <w:r>
        <w:rPr>
          <w:b/>
        </w:rPr>
        <w:b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pPr>
      <w:r>
        <w:rPr>
          <w:b/>
        </w:rPr>
        <w:t>Interest Payments</w:t>
      </w:r>
    </w:p>
    <w:p>
      <w:pPr>
        <w:pStyle w:val="normal1"/>
        <w:jc w:val="left"/>
        <w:rPr/>
      </w:pPr>
      <w:r>
        <w:rPr/>
        <w:t xml:space="preserve">The current rate of increase in </w:t>
      </w:r>
      <w:hyperlink r:id="rId19">
        <w:r>
          <w:rPr>
            <w:rStyle w:val="ListLabel19"/>
            <w:color w:val="0000EE"/>
            <w:u w:val="single"/>
          </w:rPr>
          <w:t>Federal debt interest payments</w:t>
        </w:r>
      </w:hyperlink>
      <w:r>
        <w:rPr/>
        <w:t xml:space="preserve"> is unsustainable.</w:t>
      </w:r>
    </w:p>
    <w:p>
      <w:pPr>
        <w:pStyle w:val="normal1"/>
        <w:jc w:val="left"/>
        <w:rPr/>
      </w:pPr>
      <w:r>
        <w:rPr/>
        <w:t xml:space="preserve"> </w:t>
      </w:r>
    </w:p>
    <w:p>
      <w:pPr>
        <w:pStyle w:val="normal1"/>
        <w:jc w:val="left"/>
        <w:rPr>
          <w:b/>
        </w:rPr>
      </w:pPr>
      <w:r>
        <w:rPr>
          <w:b/>
        </w:rPr>
        <w:drawing>
          <wp:anchor behindDoc="0" distT="0" distB="0" distL="0" distR="0" simplePos="0" locked="0" layoutInCell="0" allowOverlap="1" relativeHeight="13">
            <wp:simplePos x="0" y="0"/>
            <wp:positionH relativeFrom="column">
              <wp:posOffset>147320</wp:posOffset>
            </wp:positionH>
            <wp:positionV relativeFrom="paragraph">
              <wp:posOffset>59690</wp:posOffset>
            </wp:positionV>
            <wp:extent cx="6894830" cy="2893695"/>
            <wp:effectExtent l="0" t="0" r="0" b="0"/>
            <wp:wrapSquare wrapText="bothSides"/>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20"/>
                    <a:stretch>
                      <a:fillRect/>
                    </a:stretch>
                  </pic:blipFill>
                  <pic:spPr bwMode="auto">
                    <a:xfrm>
                      <a:off x="0" y="0"/>
                      <a:ext cx="6894830" cy="2893695"/>
                    </a:xfrm>
                    <a:prstGeom prst="rect">
                      <a:avLst/>
                    </a:prstGeom>
                  </pic:spPr>
                </pic:pic>
              </a:graphicData>
            </a:graphic>
          </wp:anchor>
        </w:drawing>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color w:val="FF5429"/>
          <w:sz w:val="30"/>
          <w:szCs w:val="30"/>
        </w:rPr>
      </w:pPr>
      <w:r>
        <w:rPr>
          <w:b/>
          <w:color w:val="FF5429"/>
          <w:sz w:val="30"/>
          <w:szCs w:val="30"/>
        </w:rPr>
        <w:t>“</w:t>
      </w:r>
      <w:r>
        <w:rPr>
          <w:b/>
          <w:color w:val="FF5429"/>
          <w:sz w:val="30"/>
          <w:szCs w:val="30"/>
        </w:rPr>
        <w:t>Debtors never believe debt matters… until they’re dangling over a vat of acid”</w:t>
      </w:r>
      <w:r>
        <w:br w:type="page"/>
      </w:r>
    </w:p>
    <w:p>
      <w:pPr>
        <w:pStyle w:val="Heading3"/>
        <w:spacing w:lineRule="auto" w:line="240" w:before="0" w:after="115"/>
        <w:jc w:val="left"/>
        <w:rPr/>
      </w:pPr>
      <w:r>
        <w:rPr>
          <w:b/>
        </w:rPr>
        <w:t>Interest Rates</w:t>
      </w:r>
    </w:p>
    <w:p>
      <w:pPr>
        <w:pStyle w:val="normal1"/>
        <w:jc w:val="left"/>
        <w:rPr/>
      </w:pPr>
      <w:r>
        <w:rPr/>
        <w:t>Interest rates during the credit upcycle (1980 to 2020) have fallen as far as investors will tolerate. A trend reversal to higher rates will be disastrous for the current debt.</w:t>
      </w:r>
    </w:p>
    <w:p>
      <w:pPr>
        <w:pStyle w:val="Heading3"/>
        <w:jc w:val="left"/>
        <w:rPr/>
      </w:pPr>
      <w:r>
        <w:drawing>
          <wp:anchor behindDoc="0" distT="0" distB="0" distL="0" distR="0" simplePos="0" locked="0" layoutInCell="0" allowOverlap="1" relativeHeight="4">
            <wp:simplePos x="0" y="0"/>
            <wp:positionH relativeFrom="column">
              <wp:posOffset>0</wp:posOffset>
            </wp:positionH>
            <wp:positionV relativeFrom="paragraph">
              <wp:posOffset>635</wp:posOffset>
            </wp:positionV>
            <wp:extent cx="6894830" cy="3753485"/>
            <wp:effectExtent l="0" t="0" r="0" b="0"/>
            <wp:wrapSquare wrapText="bothSides"/>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21"/>
                    <a:stretch>
                      <a:fillRect/>
                    </a:stretch>
                  </pic:blipFill>
                  <pic:spPr bwMode="auto">
                    <a:xfrm>
                      <a:off x="0" y="0"/>
                      <a:ext cx="6894830" cy="3753485"/>
                    </a:xfrm>
                    <a:prstGeom prst="rect">
                      <a:avLst/>
                    </a:prstGeom>
                  </pic:spPr>
                </pic:pic>
              </a:graphicData>
            </a:graphic>
          </wp:anchor>
        </w:drawing>
      </w:r>
      <w:r>
        <w:rPr>
          <w:b/>
        </w:rPr>
        <w:t>De-dollarization</w:t>
      </w:r>
    </w:p>
    <w:p>
      <w:pPr>
        <w:pStyle w:val="normal1"/>
        <w:jc w:val="left"/>
        <w:rPr/>
      </w:pPr>
      <w:r>
        <w:rPr/>
        <w:t xml:space="preserve">The BRICS coalition will use their oligopoly power to control commodity prices and bypass the US Dollar. BRICS  control 50% of the world's food supply, 70% of the microchip supply (China + Taiwan) and almost 50% of world oil reserves. </w:t>
      </w:r>
    </w:p>
    <w:p>
      <w:pPr>
        <w:pStyle w:val="normal1"/>
        <w:jc w:val="left"/>
        <w:rPr/>
      </w:pPr>
      <w:r>
        <w:rPr/>
      </w:r>
    </w:p>
    <w:p>
      <w:pPr>
        <w:pStyle w:val="normal1"/>
        <w:jc w:val="left"/>
        <w:rPr>
          <w:color w:val="18A303"/>
          <w:sz w:val="40"/>
          <w:szCs w:val="40"/>
        </w:rPr>
      </w:pPr>
      <w:r>
        <w:rPr>
          <w:color w:val="18A303"/>
          <w:sz w:val="40"/>
          <w:szCs w:val="40"/>
        </w:rPr>
        <w:drawing>
          <wp:anchor behindDoc="0" distT="0" distB="0" distL="0" distR="0" simplePos="0" locked="0" layoutInCell="0" allowOverlap="1" relativeHeight="3">
            <wp:simplePos x="0" y="0"/>
            <wp:positionH relativeFrom="column">
              <wp:posOffset>101600</wp:posOffset>
            </wp:positionH>
            <wp:positionV relativeFrom="paragraph">
              <wp:posOffset>196850</wp:posOffset>
            </wp:positionV>
            <wp:extent cx="6672580" cy="3571875"/>
            <wp:effectExtent l="0" t="0" r="0" b="0"/>
            <wp:wrapSquare wrapText="bothSides"/>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22"/>
                    <a:stretch>
                      <a:fillRect/>
                    </a:stretch>
                  </pic:blipFill>
                  <pic:spPr bwMode="auto">
                    <a:xfrm>
                      <a:off x="0" y="0"/>
                      <a:ext cx="6672580" cy="3571875"/>
                    </a:xfrm>
                    <a:prstGeom prst="rect">
                      <a:avLst/>
                    </a:prstGeom>
                  </pic:spPr>
                </pic:pic>
              </a:graphicData>
            </a:graphic>
          </wp:anchor>
        </w:drawing>
      </w:r>
    </w:p>
    <w:p>
      <w:pPr>
        <w:pStyle w:val="normal1"/>
        <w:rPr>
          <w:color w:val="000000"/>
          <w:sz w:val="24"/>
          <w:szCs w:val="24"/>
          <w:u w:val="none"/>
          <w:shd w:fill="auto" w:val="clear"/>
        </w:rPr>
      </w:pPr>
      <w:r>
        <w:rPr>
          <w:color w:val="000000"/>
          <w:sz w:val="24"/>
          <w:szCs w:val="24"/>
          <w:u w:val="none"/>
          <w:shd w:fill="auto" w:val="clear"/>
        </w:rPr>
      </w:r>
    </w:p>
    <w:p>
      <w:pPr>
        <w:pStyle w:val="normal1"/>
        <w:rPr>
          <w:color w:val="000000"/>
          <w:sz w:val="24"/>
          <w:szCs w:val="24"/>
          <w:u w:val="none"/>
          <w:shd w:fill="auto" w:val="clear"/>
        </w:rPr>
      </w:pPr>
      <w:r>
        <w:rPr>
          <w:color w:val="000000"/>
          <w:sz w:val="24"/>
          <w:szCs w:val="24"/>
          <w:u w:val="none"/>
          <w:shd w:fill="auto" w:val="clea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6894830" cy="4874260"/>
            <wp:effectExtent l="0" t="0" r="0" b="0"/>
            <wp:wrapSquare wrapText="bothSides"/>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23"/>
                    <a:stretch>
                      <a:fillRect/>
                    </a:stretch>
                  </pic:blipFill>
                  <pic:spPr bwMode="auto">
                    <a:xfrm>
                      <a:off x="0" y="0"/>
                      <a:ext cx="6894830" cy="4874260"/>
                    </a:xfrm>
                    <a:prstGeom prst="rect">
                      <a:avLst/>
                    </a:prstGeom>
                  </pic:spPr>
                </pic:pic>
              </a:graphicData>
            </a:graphic>
          </wp:anchor>
        </w:drawing>
      </w:r>
    </w:p>
    <w:p>
      <w:pPr>
        <w:pStyle w:val="normal1"/>
        <w:rPr/>
      </w:pPr>
      <w:r>
        <w:rPr/>
        <w:t xml:space="preserve">This is an example roadmap featuring several legislative acts and pending bills organized into a </w:t>
      </w:r>
    </w:p>
    <w:p>
      <w:pPr>
        <w:pStyle w:val="normal1"/>
        <w:rPr/>
      </w:pPr>
      <w:r>
        <w:rPr/>
        <w:t xml:space="preserve">comprehensive structure. </w:t>
      </w:r>
    </w:p>
    <w:p>
      <w:pPr>
        <w:pStyle w:val="normal1"/>
        <w:rPr/>
      </w:pPr>
      <w:r>
        <w:rPr/>
      </w:r>
    </w:p>
    <w:p>
      <w:pPr>
        <w:pStyle w:val="normal1"/>
        <w:rPr/>
      </w:pPr>
      <w:hyperlink r:id="rId24">
        <w:r>
          <w:rPr>
            <w:rStyle w:val="Hyperlink"/>
          </w:rPr>
          <w:t>New Hampshire Crypto Commission, HB 310</w:t>
        </w:r>
      </w:hyperlink>
    </w:p>
    <w:p>
      <w:pPr>
        <w:pStyle w:val="normal1"/>
        <w:rPr/>
      </w:pPr>
      <w:r>
        <w:rPr/>
      </w:r>
    </w:p>
    <w:p>
      <w:pPr>
        <w:pStyle w:val="normal1"/>
        <w:rPr/>
      </w:pPr>
      <w:hyperlink r:id="rId25">
        <w:r>
          <w:rPr>
            <w:rStyle w:val="Hyperlink"/>
          </w:rPr>
          <w:t>West Virginia State Bank, HB 2464</w:t>
        </w:r>
      </w:hyperlink>
    </w:p>
    <w:p>
      <w:pPr>
        <w:pStyle w:val="normal1"/>
        <w:rPr/>
      </w:pPr>
      <w:hyperlink r:id="rId26">
        <w:r>
          <w:rPr>
            <w:rStyle w:val="Hyperlink"/>
          </w:rPr>
          <w:t>Technical Working Group</w:t>
        </w:r>
      </w:hyperlink>
    </w:p>
    <w:p>
      <w:pPr>
        <w:pStyle w:val="normal1"/>
        <w:rPr/>
      </w:pPr>
      <w:r>
        <w:rPr/>
      </w:r>
    </w:p>
    <w:p>
      <w:pPr>
        <w:pStyle w:val="normal1"/>
        <w:rPr/>
      </w:pPr>
      <w:hyperlink r:id="rId27">
        <w:r>
          <w:rPr>
            <w:rStyle w:val="Hyperlink"/>
          </w:rPr>
          <w:t>Wyoming Stable Token, Senate Act 85</w:t>
        </w:r>
      </w:hyperlink>
    </w:p>
    <w:p>
      <w:pPr>
        <w:pStyle w:val="normal1"/>
        <w:rPr/>
      </w:pPr>
      <w:hyperlink r:id="rId28">
        <w:r>
          <w:rPr>
            <w:rStyle w:val="Hyperlink"/>
          </w:rPr>
          <w:t>Arkansas Bullion Depository, Act 810</w:t>
        </w:r>
      </w:hyperlink>
    </w:p>
    <w:p>
      <w:pPr>
        <w:pStyle w:val="normal1"/>
        <w:rPr/>
      </w:pPr>
      <w:hyperlink r:id="rId29">
        <w:r>
          <w:rPr>
            <w:rStyle w:val="Hyperlink"/>
          </w:rPr>
          <w:t>Texas Oil-based Stablecoin, SB 2922</w:t>
        </w:r>
      </w:hyperlink>
    </w:p>
    <w:p>
      <w:pPr>
        <w:pStyle w:val="normal1"/>
        <w:rPr/>
      </w:pPr>
      <w:hyperlink r:id="rId30">
        <w:r>
          <w:rPr>
            <w:rStyle w:val="Hyperlink"/>
          </w:rPr>
          <w:t>New Hampshire Digital Asset Act, Chapter 4, Laws of 2025</w:t>
        </w:r>
      </w:hyperlink>
    </w:p>
    <w:p>
      <w:pPr>
        <w:pStyle w:val="normal1"/>
        <w:rPr/>
      </w:pPr>
      <w:hyperlink r:id="rId31">
        <w:r>
          <w:rPr>
            <w:rStyle w:val="Hyperlink"/>
          </w:rPr>
          <w:t>Louisiana Interoperation, HB 695</w:t>
        </w:r>
      </w:hyperlink>
    </w:p>
    <w:p>
      <w:pPr>
        <w:pStyle w:val="normal1"/>
        <w:rPr/>
      </w:pPr>
      <w:hyperlink r:id="rId32">
        <w:r>
          <w:rPr>
            <w:rStyle w:val="Hyperlink"/>
          </w:rPr>
          <w:t>State Exchange System</w:t>
        </w:r>
      </w:hyperlink>
    </w:p>
    <w:p>
      <w:pPr>
        <w:pStyle w:val="normal1"/>
        <w:rPr/>
      </w:pPr>
      <w:r>
        <w:rPr/>
      </w:r>
    </w:p>
    <w:p>
      <w:pPr>
        <w:pStyle w:val="normal1"/>
        <w:rPr/>
      </w:pPr>
      <w:r>
        <w:rPr/>
        <w:t>After reading through proposed State legislation, I realized that most of the crypto-related bills are singular and self-contained, which is also how I envisioned this STP project.   But now I think this roadmap might be better for most situations because it’s a strategic approach with a single source of direction (Crypto Commission) and reduces complexity and duplication.</w:t>
      </w:r>
      <w:r>
        <w:br w:type="page"/>
      </w:r>
    </w:p>
    <w:p>
      <w:pPr>
        <w:pStyle w:val="Heading4"/>
        <w:spacing w:lineRule="auto" w:line="240" w:before="0" w:after="115"/>
        <w:rPr>
          <w:color w:val="00A933"/>
          <w:sz w:val="40"/>
          <w:szCs w:val="40"/>
        </w:rPr>
      </w:pPr>
      <w:r>
        <w:rPr>
          <w:sz w:val="40"/>
          <w:szCs w:val="40"/>
        </w:rPr>
        <w:t>State Token Platform (STP)</w:t>
      </w:r>
    </w:p>
    <w:p>
      <w:pPr>
        <w:pStyle w:val="normal1"/>
        <w:rPr/>
      </w:pPr>
      <w:r>
        <w:rPr/>
        <w:t>This is a high-level overview of how the STP platform works.</w:t>
      </w:r>
    </w:p>
    <w:p>
      <w:pPr>
        <w:pStyle w:val="normal1"/>
        <w:rPr/>
      </w:pPr>
      <w:hyperlink r:id="rId33">
        <w:r>
          <w:rPr>
            <w:rStyle w:val="ListLabel19"/>
            <w:color w:val="0000EE"/>
            <w:u w:val="single"/>
          </w:rPr>
          <w:t xml:space="preserve">Github source code </w:t>
        </w:r>
      </w:hyperlink>
      <w:r>
        <w:rPr/>
        <w:t xml:space="preserve">is at </w:t>
      </w:r>
      <w:hyperlink r:id="rId34">
        <w:r>
          <w:rPr>
            <w:rStyle w:val="ListLabel19"/>
            <w:color w:val="0000EE"/>
            <w:u w:val="single"/>
          </w:rPr>
          <w:t>https://github.com/broward/token</w:t>
        </w:r>
      </w:hyperlink>
    </w:p>
    <w:p>
      <w:pPr>
        <w:pStyle w:val="normal1"/>
        <w:rPr/>
      </w:pPr>
      <w:r>
        <w:rPr/>
      </w:r>
    </w:p>
    <w:p>
      <w:pPr>
        <w:pStyle w:val="normal1"/>
        <w:rPr/>
      </w:pPr>
      <w:r>
        <w:rPr/>
        <w:t>DEPOSITORY: stores value such as gold / currency / other</w:t>
      </w:r>
    </w:p>
    <w:p>
      <w:pPr>
        <w:pStyle w:val="normal1"/>
        <w:rPr/>
      </w:pPr>
      <w:r>
        <w:rPr/>
        <w:t>API CODE: receives and executes logins, transactions, etc</w:t>
      </w:r>
    </w:p>
    <w:p>
      <w:pPr>
        <w:pStyle w:val="normal1"/>
        <w:rPr/>
      </w:pPr>
      <w:r>
        <w:rPr/>
        <w:t>BLOCKCHAIN MODULE: contains the Quorum blockchain and MPC library</w:t>
      </w:r>
    </w:p>
    <w:p>
      <w:pPr>
        <w:pStyle w:val="normal1"/>
        <w:rPr/>
      </w:pPr>
      <w:r>
        <w:rPr/>
        <w:t>BLOCKCHAIN: equivalent to an accounting ledger</w:t>
      </w:r>
    </w:p>
    <w:p>
      <w:pPr>
        <w:pStyle w:val="normal1"/>
        <w:rPr/>
      </w:pPr>
      <w:r>
        <w:rPr/>
        <w:t>MPC library: equivalent to safety deposit keys, stores key shards in three locations</w:t>
      </w:r>
    </w:p>
    <w:p>
      <w:pPr>
        <w:pStyle w:val="normal1"/>
        <w:rPr/>
      </w:pPr>
      <w:r>
        <w:rPr/>
        <w:t>DOLLAR CLIENT: customer with funds in the State treasury</w:t>
      </w:r>
    </w:p>
    <w:p>
      <w:pPr>
        <w:pStyle w:val="normal1"/>
        <w:rPr/>
      </w:pPr>
      <w:r>
        <w:rPr/>
        <w:t>CASH CLIENT: customer in a separate domain with funds in gold / other depository</w:t>
      </w:r>
    </w:p>
    <w:p>
      <w:pPr>
        <w:pStyle w:val="normal1"/>
        <w:rPr/>
      </w:pPr>
      <w:r>
        <w:rPr/>
      </w:r>
    </w:p>
    <w:p>
      <w:pPr>
        <w:pStyle w:val="normal1"/>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19875" cy="33839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5"/>
                    <a:stretch>
                      <a:fillRect/>
                    </a:stretch>
                  </pic:blipFill>
                  <pic:spPr bwMode="auto">
                    <a:xfrm>
                      <a:off x="0" y="0"/>
                      <a:ext cx="6619875" cy="3383915"/>
                    </a:xfrm>
                    <a:prstGeom prst="rect">
                      <a:avLst/>
                    </a:prstGeom>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3725545</wp:posOffset>
            </wp:positionV>
            <wp:extent cx="6629400" cy="355536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6"/>
                    <a:stretch>
                      <a:fillRect/>
                    </a:stretch>
                  </pic:blipFill>
                  <pic:spPr bwMode="auto">
                    <a:xfrm>
                      <a:off x="0" y="0"/>
                      <a:ext cx="6629400" cy="3555365"/>
                    </a:xfrm>
                    <a:prstGeom prst="rect">
                      <a:avLst/>
                    </a:prstGeom>
                  </pic:spPr>
                </pic:pic>
              </a:graphicData>
            </a:graphic>
          </wp:anchor>
        </w:drawing>
      </w:r>
      <w:r>
        <w:br w:type="page"/>
      </w:r>
    </w:p>
    <w:p>
      <w:pPr>
        <w:pStyle w:val="Heading3"/>
        <w:spacing w:lineRule="auto" w:line="240" w:before="0" w:after="115"/>
        <w:jc w:val="left"/>
        <w:rPr/>
      </w:pPr>
      <w:r>
        <w:rPr/>
        <w:t xml:space="preserve">Author </w:t>
      </w:r>
    </w:p>
    <w:p>
      <w:pPr>
        <w:pStyle w:val="normal1"/>
        <w:ind w:hanging="0" w:left="0" w:right="0"/>
        <w:jc w:val="left"/>
        <w:rPr/>
      </w:pPr>
      <w:r>
        <w:rPr/>
        <w:t>Thirty-five years of eclectic software development, including 7 startups, IT staff at a major university, several USDOT grants and 15 years of corporate consulting. </w:t>
      </w:r>
      <w:hyperlink r:id="rId37">
        <w:r>
          <w:rPr>
            <w:rStyle w:val="ListLabel19"/>
            <w:color w:val="0000EE"/>
            <w:u w:val="single"/>
          </w:rPr>
          <w:t>Three DEFCON presentations</w:t>
        </w:r>
      </w:hyperlink>
      <w:r>
        <w:rPr/>
        <w:t> on predictive analytics.</w:t>
      </w:r>
    </w:p>
    <w:p>
      <w:pPr>
        <w:pStyle w:val="Heading4"/>
        <w:jc w:val="left"/>
        <w:rPr/>
      </w:pPr>
      <w:r>
        <w:rPr>
          <w:b/>
        </w:rPr>
        <w:t>State governments</w:t>
      </w:r>
    </w:p>
    <w:p>
      <w:pPr>
        <w:pStyle w:val="normal1"/>
        <w:ind w:hanging="0" w:left="0" w:right="0"/>
        <w:jc w:val="left"/>
        <w:rPr/>
      </w:pPr>
      <w:r>
        <w:rPr/>
        <w:t xml:space="preserve">From 1991-1996, I was the original architect of five Federal Highway Administration grants developing the </w:t>
      </w:r>
      <w:hyperlink r:id="rId38">
        <w:r>
          <w:rPr>
            <w:rStyle w:val="ListLabel19"/>
            <w:color w:val="0000EE"/>
            <w:u w:val="single"/>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39">
        <w:r>
          <w:rPr>
            <w:rStyle w:val="ListLabel19"/>
            <w:color w:val="0000EE"/>
            <w:u w:val="single"/>
          </w:rPr>
          <w:t>Boise State University employee of the year</w:t>
        </w:r>
      </w:hyperlink>
      <w:r>
        <w:rPr/>
        <w:t xml:space="preserve"> in 1994.</w:t>
      </w:r>
    </w:p>
    <w:p>
      <w:pPr>
        <w:pStyle w:val="Heading4"/>
        <w:jc w:val="left"/>
        <w:rPr/>
      </w:pPr>
      <w:r>
        <w:rPr>
          <w:b/>
        </w:rPr>
        <w:t>Startups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1992-96</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R&amp;D on early mobile systems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Saleslogix 1998-2000</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CRM startup, SDK and Salesforce competitor</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Sunhill Software 2004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supply chain logistics and KPI</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Gloo 2013</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&amp; wellness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DLVR 2016-17</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video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Sila 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stablecoin SDK and toolkit</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140"/>
        <w:ind w:hanging="283" w:left="375" w:right="0"/>
        <w:jc w:val="left"/>
        <w:rPr>
          <w:b w:val="false"/>
          <w:i w:val="false"/>
          <w:i w:val="false"/>
          <w:caps w:val="false"/>
          <w:smallCaps w:val="false"/>
          <w:strike w:val="false"/>
          <w:dstrike w:val="false"/>
          <w:position w:val="0"/>
          <w:sz w:val="24"/>
          <w:sz w:val="24"/>
          <w:szCs w:val="24"/>
          <w:u w:val="none"/>
          <w:shd w:fill="auto" w:val="clear"/>
          <w:vertAlign w:val="baseline"/>
        </w:rPr>
      </w:pPr>
      <w:hyperlink r:id="rId4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Ensomata 2022</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care analytics</w:t>
      </w:r>
    </w:p>
    <w:p>
      <w:pPr>
        <w:pStyle w:val="Heading4"/>
        <w:jc w:val="left"/>
        <w:rPr/>
      </w:pPr>
      <w:r>
        <w:rPr>
          <w:b/>
        </w:rPr>
        <w:t>Digital Currencies</w:t>
      </w:r>
    </w:p>
    <w:p>
      <w:pPr>
        <w:pStyle w:val="normal1"/>
        <w:ind w:hanging="0" w:left="0" w:right="0"/>
        <w:jc w:val="left"/>
        <w:rPr/>
      </w:pPr>
      <w:r>
        <w:rPr/>
        <w:t xml:space="preserve">Hands-on work with three digital currencies – the </w:t>
      </w:r>
      <w:hyperlink r:id="rId47">
        <w:r>
          <w:rPr>
            <w:rStyle w:val="ListLabel19"/>
            <w:color w:val="0000EE"/>
            <w:u w:val="single"/>
          </w:rPr>
          <w:t>Digital Money Trust in 1994</w:t>
        </w:r>
      </w:hyperlink>
      <w:r>
        <w:rPr/>
        <w:t xml:space="preserve"> (a precursor to Bitcoin), an </w:t>
      </w:r>
      <w:hyperlink r:id="rId48">
        <w:r>
          <w:rPr>
            <w:rStyle w:val="ListLabel19"/>
            <w:color w:val="0000EE"/>
            <w:u w:val="single"/>
          </w:rPr>
          <w:t>IoT token prototype in 2014</w:t>
        </w:r>
      </w:hyperlink>
      <w:r>
        <w:rPr/>
        <w:t xml:space="preserve"> and </w:t>
      </w:r>
      <w:hyperlink r:id="rId49">
        <w:r>
          <w:rPr>
            <w:rStyle w:val="ListLabel19"/>
            <w:color w:val="0000EE"/>
            <w:u w:val="single"/>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jc w:val="left"/>
        <w:rPr/>
      </w:pPr>
      <w:r>
        <w:rPr>
          <w:b/>
        </w:rPr>
        <w:t>Contracting</w:t>
      </w:r>
    </w:p>
    <w:p>
      <w:pPr>
        <w:pStyle w:val="normal1"/>
        <w:ind w:hanging="0" w:left="0" w:right="0"/>
        <w:jc w:val="left"/>
        <w:rPr/>
      </w:pPr>
      <w:r>
        <w:rPr/>
        <w:t xml:space="preserve">Significant projects at </w:t>
      </w:r>
      <w:hyperlink r:id="rId50">
        <w:r>
          <w:rPr>
            <w:rStyle w:val="ListLabel19"/>
            <w:color w:val="0000EE"/>
            <w:u w:val="single"/>
          </w:rPr>
          <w:t>Boeing</w:t>
        </w:r>
      </w:hyperlink>
      <w:r>
        <w:rPr/>
        <w:t xml:space="preserve"> (call center), </w:t>
      </w:r>
      <w:hyperlink r:id="rId51">
        <w:r>
          <w:rPr>
            <w:rStyle w:val="ListLabel19"/>
            <w:color w:val="0000EE"/>
            <w:u w:val="single"/>
          </w:rPr>
          <w:t>Avnet</w:t>
        </w:r>
      </w:hyperlink>
      <w:r>
        <w:rPr/>
        <w:t xml:space="preserve"> (e-commerce), </w:t>
      </w:r>
      <w:hyperlink r:id="rId52">
        <w:r>
          <w:rPr>
            <w:rStyle w:val="ListLabel19"/>
            <w:color w:val="0000EE"/>
            <w:u w:val="single"/>
          </w:rPr>
          <w:t>Aetna</w:t>
        </w:r>
      </w:hyperlink>
      <w:r>
        <w:rPr/>
        <w:t xml:space="preserve"> (case management), </w:t>
      </w:r>
      <w:hyperlink r:id="rId53">
        <w:r>
          <w:rPr>
            <w:rStyle w:val="ListLabel19"/>
            <w:color w:val="0000EE"/>
            <w:u w:val="single"/>
          </w:rPr>
          <w:t>Amdocs</w:t>
        </w:r>
      </w:hyperlink>
      <w:r>
        <w:rPr/>
        <w:t xml:space="preserve"> (payment system), </w:t>
      </w:r>
      <w:hyperlink r:id="rId54">
        <w:r>
          <w:rPr>
            <w:rStyle w:val="ListLabel19"/>
            <w:color w:val="0000EE"/>
            <w:u w:val="single"/>
          </w:rPr>
          <w:t>DLVR.com</w:t>
        </w:r>
      </w:hyperlink>
      <w:r>
        <w:rPr/>
        <w:t xml:space="preserve"> (video analytics), Verizon (ring tone sales), </w:t>
      </w:r>
      <w:hyperlink r:id="rId55">
        <w:r>
          <w:rPr>
            <w:rStyle w:val="ListLabel19"/>
            <w:color w:val="0000EE"/>
            <w:u w:val="single"/>
          </w:rPr>
          <w:t>Staples</w:t>
        </w:r>
      </w:hyperlink>
      <w:r>
        <w:rPr/>
        <w:t xml:space="preserve"> (e-commerce). </w:t>
      </w:r>
    </w:p>
    <w:p>
      <w:pPr>
        <w:pStyle w:val="Heading4"/>
        <w:jc w:val="left"/>
        <w:rPr/>
      </w:pPr>
      <w:r>
        <w:rPr>
          <w:b/>
        </w:rPr>
        <w:t>DEFCON</w:t>
      </w:r>
    </w:p>
    <w:p>
      <w:pPr>
        <w:pStyle w:val="normal1"/>
        <w:jc w:val="left"/>
        <w:rPr/>
      </w:pPr>
      <w:hyperlink r:id="rId56">
        <w:r>
          <w:rPr>
            <w:rStyle w:val="ListLabel19"/>
            <w:color w:val="0000EE"/>
            <w:u w:val="single"/>
          </w:rPr>
          <w:t xml:space="preserve">Three DEFCON convention presentations in 2005-2007 </w:t>
        </w:r>
      </w:hyperlink>
      <w:r>
        <w:rPr/>
        <w:t>on predictive analytics and memetic manipulations.</w:t>
      </w:r>
    </w:p>
    <w:p>
      <w:pPr>
        <w:pStyle w:val="Heading3"/>
        <w:jc w:val="left"/>
        <w:rPr/>
      </w:pPr>
      <w:r>
        <w:rPr>
          <w:b/>
        </w:rPr>
        <w:t>Related Materal By Me</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Cost Of Information 2024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BRICS Currency System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AWS App Design,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Stablecoin Hack,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Miner Bankruptcy,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Polymorphic API,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Crypto Platform, 2020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Payment System,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Bitcoin Scalability,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 xml:space="preserve">Digital Money Trust, 2015 </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Jing Currency on IoT, 2014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Aetna Migration, 2011</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Avnet E-commerce, 2000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Multi-Tenant Systems, 1996-2018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System, 1992-1996</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Hacking the Planet, 1988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sectPr>
      <w:type w:val="nextPage"/>
      <w:pgSz w:w="12240" w:h="15840"/>
      <w:pgMar w:left="691" w:right="691" w:gutter="0" w:header="0" w:top="461" w:footer="0" w:bottom="46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Noto Sans Symbol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75" w:hanging="283"/>
      </w:pPr>
      <w:rPr>
        <w:rFonts w:ascii="Symbol" w:hAnsi="Symbol" w:cs="Symbol" w:hint="default"/>
      </w:rPr>
    </w:lvl>
    <w:lvl w:ilvl="1">
      <w:start w:val="1"/>
      <w:numFmt w:val="bullet"/>
      <w:lvlText w:val="●"/>
      <w:lvlJc w:val="left"/>
      <w:pPr>
        <w:tabs>
          <w:tab w:val="num" w:pos="0"/>
        </w:tabs>
        <w:ind w:left="1418" w:hanging="282"/>
      </w:pPr>
      <w:rPr>
        <w:rFonts w:ascii="Noto Sans Symbols" w:hAnsi="Noto Sans Symbols" w:cs="Noto Sans Symbols" w:hint="default"/>
        <w:color w:val="000000"/>
      </w:rPr>
    </w:lvl>
    <w:lvl w:ilvl="2">
      <w:start w:val="1"/>
      <w:numFmt w:val="bullet"/>
      <w:lvlText w:val="●"/>
      <w:lvlJc w:val="left"/>
      <w:pPr>
        <w:tabs>
          <w:tab w:val="num" w:pos="0"/>
        </w:tabs>
        <w:ind w:left="2127" w:hanging="283"/>
      </w:pPr>
      <w:rPr>
        <w:rFonts w:ascii="Noto Sans Symbols" w:hAnsi="Noto Sans Symbols" w:cs="Noto Sans Symbols" w:hint="default"/>
        <w:color w:val="000000"/>
      </w:rPr>
    </w:lvl>
    <w:lvl w:ilvl="3">
      <w:start w:val="1"/>
      <w:numFmt w:val="bullet"/>
      <w:lvlText w:val="●"/>
      <w:lvlJc w:val="left"/>
      <w:pPr>
        <w:tabs>
          <w:tab w:val="num" w:pos="0"/>
        </w:tabs>
        <w:ind w:left="2836" w:hanging="283"/>
      </w:pPr>
      <w:rPr>
        <w:rFonts w:ascii="Noto Sans Symbols" w:hAnsi="Noto Sans Symbols" w:cs="Noto Sans Symbols" w:hint="default"/>
        <w:color w:val="000000"/>
      </w:rPr>
    </w:lvl>
    <w:lvl w:ilvl="4">
      <w:start w:val="1"/>
      <w:numFmt w:val="bullet"/>
      <w:lvlText w:val="●"/>
      <w:lvlJc w:val="left"/>
      <w:pPr>
        <w:tabs>
          <w:tab w:val="num" w:pos="0"/>
        </w:tabs>
        <w:ind w:left="3545" w:hanging="283"/>
      </w:pPr>
      <w:rPr>
        <w:rFonts w:ascii="Noto Sans Symbols" w:hAnsi="Noto Sans Symbols" w:cs="Noto Sans Symbols" w:hint="default"/>
        <w:color w:val="000000"/>
      </w:rPr>
    </w:lvl>
    <w:lvl w:ilvl="5">
      <w:start w:val="1"/>
      <w:numFmt w:val="bullet"/>
      <w:lvlText w:val="●"/>
      <w:lvlJc w:val="left"/>
      <w:pPr>
        <w:tabs>
          <w:tab w:val="num" w:pos="0"/>
        </w:tabs>
        <w:ind w:left="4254" w:hanging="283"/>
      </w:pPr>
      <w:rPr>
        <w:rFonts w:ascii="Noto Sans Symbols" w:hAnsi="Noto Sans Symbols" w:cs="Noto Sans Symbols" w:hint="default"/>
        <w:color w:val="000000"/>
      </w:rPr>
    </w:lvl>
    <w:lvl w:ilvl="6">
      <w:start w:val="1"/>
      <w:numFmt w:val="bullet"/>
      <w:lvlText w:val="●"/>
      <w:lvlJc w:val="left"/>
      <w:pPr>
        <w:tabs>
          <w:tab w:val="num" w:pos="0"/>
        </w:tabs>
        <w:ind w:left="4963" w:hanging="283"/>
      </w:pPr>
      <w:rPr>
        <w:rFonts w:ascii="Noto Sans Symbols" w:hAnsi="Noto Sans Symbols" w:cs="Noto Sans Symbols" w:hint="default"/>
        <w:color w:val="000000"/>
      </w:rPr>
    </w:lvl>
    <w:lvl w:ilvl="7">
      <w:start w:val="1"/>
      <w:numFmt w:val="bullet"/>
      <w:lvlText w:val="●"/>
      <w:lvlJc w:val="left"/>
      <w:pPr>
        <w:tabs>
          <w:tab w:val="num" w:pos="0"/>
        </w:tabs>
        <w:ind w:left="5672" w:hanging="282"/>
      </w:pPr>
      <w:rPr>
        <w:rFonts w:ascii="Noto Sans Symbols" w:hAnsi="Noto Sans Symbols" w:cs="Noto Sans Symbols" w:hint="default"/>
        <w:color w:val="000000"/>
      </w:rPr>
    </w:lvl>
    <w:lvl w:ilvl="8">
      <w:start w:val="1"/>
      <w:numFmt w:val="bullet"/>
      <w:lvlText w:val="●"/>
      <w:lvlJc w:val="left"/>
      <w:pPr>
        <w:tabs>
          <w:tab w:val="num" w:pos="0"/>
        </w:tabs>
        <w:ind w:left="6381" w:hanging="282"/>
      </w:pPr>
      <w:rPr>
        <w:rFonts w:ascii="Noto Sans Symbols" w:hAnsi="Noto Sans Symbols" w:cs="Noto Sans Symbols"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80" w:after="0"/>
    </w:pPr>
    <w:rPr>
      <w:rFonts w:ascii="Arial" w:hAnsi="Arial" w:eastAsia="Arial" w:cs="Arial"/>
      <w:b/>
      <w:color w:val="3465A4"/>
      <w:sz w:val="28"/>
      <w:szCs w:val="28"/>
    </w:rPr>
  </w:style>
  <w:style w:type="paragraph" w:styleId="Heading2">
    <w:name w:val="Heading 2"/>
    <w:basedOn w:val="normal1"/>
    <w:next w:val="normal1"/>
    <w:qFormat/>
    <w:pPr>
      <w:keepNext w:val="true"/>
      <w:keepLines/>
      <w:spacing w:lineRule="auto" w:line="240" w:before="200" w:after="0"/>
    </w:pPr>
    <w:rPr>
      <w:rFonts w:ascii="Arial" w:hAnsi="Arial" w:eastAsia="Arial" w:cs="Arial"/>
      <w:b/>
      <w:color w:val="3465A4"/>
      <w:sz w:val="26"/>
      <w:szCs w:val="26"/>
    </w:rPr>
  </w:style>
  <w:style w:type="paragraph" w:styleId="Heading3">
    <w:name w:val="Heading 3"/>
    <w:basedOn w:val="normal1"/>
    <w:next w:val="normal1"/>
    <w:qFormat/>
    <w:pPr>
      <w:keepNext w:val="true"/>
      <w:keepLines/>
      <w:spacing w:lineRule="auto" w:line="240" w:before="202" w:after="115"/>
      <w:jc w:val="left"/>
    </w:pPr>
    <w:rPr>
      <w:rFonts w:ascii="Arial" w:hAnsi="Arial" w:eastAsia="Arial" w:cs="Arial"/>
      <w:b/>
      <w:color w:val="3465A4"/>
      <w:sz w:val="30"/>
      <w:szCs w:val="30"/>
    </w:rPr>
  </w:style>
  <w:style w:type="paragraph" w:styleId="Heading4">
    <w:name w:val="Heading 4"/>
    <w:basedOn w:val="normal1"/>
    <w:next w:val="normal1"/>
    <w:qFormat/>
    <w:pPr>
      <w:keepNext w:val="true"/>
      <w:keepLines/>
      <w:spacing w:lineRule="auto" w:line="240" w:before="202" w:after="115"/>
    </w:pPr>
    <w:rPr>
      <w:rFonts w:ascii="Times New Roman" w:hAnsi="Times New Roman" w:eastAsia="Times New Roman" w:cs="Times New Roman"/>
      <w:b/>
      <w:i w:val="false"/>
      <w:color w:val="3465A4"/>
      <w:sz w:val="30"/>
      <w:szCs w:val="30"/>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image" Target="media/image2.png"/><Relationship Id="rId6" Type="http://schemas.openxmlformats.org/officeDocument/2006/relationships/hyperlink" Target="https://open.pluralpolicy.com/ar/bills/2025/HB1918/" TargetMode="External"/><Relationship Id="rId7" Type="http://schemas.openxmlformats.org/officeDocument/2006/relationships/hyperlink" Target="https://legiscan.com/TX/bill/HB1056/2025" TargetMode="External"/><Relationship Id="rId8" Type="http://schemas.openxmlformats.org/officeDocument/2006/relationships/hyperlink" Target="https://broward.ghost.io/2014/03/09/about/" TargetMode="External"/><Relationship Id="rId9" Type="http://schemas.openxmlformats.org/officeDocument/2006/relationships/hyperlink" Target="https://broward.ghost.io/2014/03/09/about/" TargetMode="External"/><Relationship Id="rId10" Type="http://schemas.openxmlformats.org/officeDocument/2006/relationships/hyperlink" Target="https://github.com/broward/token" TargetMode="External"/><Relationship Id="rId11" Type="http://schemas.openxmlformats.org/officeDocument/2006/relationships/hyperlink" Target="https://github.com/broward/token"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broward.ghost.io/2023/05/26/technical-working-group/" TargetMode="External"/><Relationship Id="rId16" Type="http://schemas.openxmlformats.org/officeDocument/2006/relationships/hyperlink" Target="https://broward.ghost.io/2023/09/02/brics-model-1/" TargetMode="External"/><Relationship Id="rId17" Type="http://schemas.openxmlformats.org/officeDocument/2006/relationships/hyperlink" Target="https://broward.ghost.io/current-alt-bills" TargetMode="External"/><Relationship Id="rId18" Type="http://schemas.openxmlformats.org/officeDocument/2006/relationships/image" Target="media/image6.png"/><Relationship Id="rId19" Type="http://schemas.openxmlformats.org/officeDocument/2006/relationships/hyperlink" Target="https://fred.stlouisfed.org/series/A091RC1Q027SBEA"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open.pluralpolicy.com/nh/bills/2025/HB310/" TargetMode="External"/><Relationship Id="rId25" Type="http://schemas.openxmlformats.org/officeDocument/2006/relationships/hyperlink" Target="https://open.pluralpolicy.com/wv/bills/2025/HB2464/" TargetMode="External"/><Relationship Id="rId26" Type="http://schemas.openxmlformats.org/officeDocument/2006/relationships/hyperlink" Target="https://broward.ghost.io/2023/05/26/technical-working-group/" TargetMode="External"/><Relationship Id="rId27" Type="http://schemas.openxmlformats.org/officeDocument/2006/relationships/hyperlink" Target="https://open.pluralpolicy.com/wy/bills/2023/SF127/" TargetMode="External"/><Relationship Id="rId28" Type="http://schemas.openxmlformats.org/officeDocument/2006/relationships/hyperlink" Target="https://open.pluralpolicy.com/ar/bills/2025/HB1918/" TargetMode="External"/><Relationship Id="rId29" Type="http://schemas.openxmlformats.org/officeDocument/2006/relationships/hyperlink" Target="https://open.pluralpolicy.com/tx/bills/89R/SB2922/" TargetMode="External"/><Relationship Id="rId30" Type="http://schemas.openxmlformats.org/officeDocument/2006/relationships/hyperlink" Target="https://open.pluralpolicy.com/nh/bills/2025/HB302/" TargetMode="External"/><Relationship Id="rId31" Type="http://schemas.openxmlformats.org/officeDocument/2006/relationships/hyperlink" Target="https://open.pluralpolicy.com/la/bills/2025/HB695/" TargetMode="External"/><Relationship Id="rId32" Type="http://schemas.openxmlformats.org/officeDocument/2006/relationships/hyperlink" Target="https://broward.ghost.io/2023/09/01/brics-currency-platform/" TargetMode="External"/><Relationship Id="rId33" Type="http://schemas.openxmlformats.org/officeDocument/2006/relationships/hyperlink" Target="https://github.com/broward/token" TargetMode="External"/><Relationship Id="rId34" Type="http://schemas.openxmlformats.org/officeDocument/2006/relationships/hyperlink" Target="https://github.com/broward/token" TargetMode="External"/><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broward.ghost.io/2014/01/09/defcon/" TargetMode="External"/><Relationship Id="rId38" Type="http://schemas.openxmlformats.org/officeDocument/2006/relationships/hyperlink" Target="https://www.ugpti.org/research/details.php?id=93&amp;ref=broward.ghost.io" TargetMode="External"/><Relationship Id="rId39" Type="http://schemas.openxmlformats.org/officeDocument/2006/relationships/hyperlink" Target="https://broward.ghost.io/content/images/2022/01/nampa_article-1.jpg" TargetMode="External"/><Relationship Id="rId40" Type="http://schemas.openxmlformats.org/officeDocument/2006/relationships/hyperlink" Target="https://broward.ghost.io/2014/05/19/early-mobile-system/" TargetMode="External"/><Relationship Id="rId41" Type="http://schemas.openxmlformats.org/officeDocument/2006/relationships/hyperlink" Target="https://broward.ghost.io/2021/03/01/saleslogix/" TargetMode="External"/><Relationship Id="rId42" Type="http://schemas.openxmlformats.org/officeDocument/2006/relationships/hyperlink" Target="https://broward.ghost.io/2023/11/14/sunhill-software/" TargetMode="External"/><Relationship Id="rId43" Type="http://schemas.openxmlformats.org/officeDocument/2006/relationships/hyperlink" Target="https://broward.ghost.io/2014/05/20/node-postgres-and-highcharts-app/" TargetMode="External"/><Relationship Id="rId44" Type="http://schemas.openxmlformats.org/officeDocument/2006/relationships/hyperlink" Target="https://dlvr.com/how-it-works/video-multi-cdn-optimization/?ref=broward.ghost.io" TargetMode="External"/><Relationship Id="rId45" Type="http://schemas.openxmlformats.org/officeDocument/2006/relationships/hyperlink" Target="https://broward.ghost.io/2020/08/14/revision-2/" TargetMode="External"/><Relationship Id="rId46" Type="http://schemas.openxmlformats.org/officeDocument/2006/relationships/hyperlink" Target="https://broward.ghost.io/2023/04/02/sonoma/" TargetMode="External"/><Relationship Id="rId47" Type="http://schemas.openxmlformats.org/officeDocument/2006/relationships/hyperlink" Target="https://broward.ghost.io/2015/09/26/bitcoin-blockchains-and-banking-busts/" TargetMode="External"/><Relationship Id="rId48" Type="http://schemas.openxmlformats.org/officeDocument/2006/relationships/hyperlink" Target="https://broward.ghost.io/2021/03/01/digital-currency-on-iot/" TargetMode="External"/><Relationship Id="rId49" Type="http://schemas.openxmlformats.org/officeDocument/2006/relationships/hyperlink" Target="https://docs.silamoney.com/docs?ref=broward.ghost.io" TargetMode="External"/><Relationship Id="rId50" Type="http://schemas.openxmlformats.org/officeDocument/2006/relationships/hyperlink" Target="https://broward.ghost.io/2022/11/18/boeing-revisited/" TargetMode="External"/><Relationship Id="rId51" Type="http://schemas.openxmlformats.org/officeDocument/2006/relationships/hyperlink" Target="https://broward.ghost.io/2021/02/28/e-commerce-systems/" TargetMode="External"/><Relationship Id="rId52" Type="http://schemas.openxmlformats.org/officeDocument/2006/relationships/hyperlink" Target="https://broward.ghost.io/aetna)" TargetMode="External"/><Relationship Id="rId53" Type="http://schemas.openxmlformats.org/officeDocument/2006/relationships/hyperlink" Target="https://broward.ghost.io/2015/05/17/simple-kafka-monitor-using-opendmk-jmx-2-0/" TargetMode="External"/><Relationship Id="rId54" Type="http://schemas.openxmlformats.org/officeDocument/2006/relationships/hyperlink" Target="https://raw.githubusercontent.com/broward/images/master/Architecture/CrossSignFlow.jpg?ref=broward.ghost.io" TargetMode="External"/><Relationship Id="rId55" Type="http://schemas.openxmlformats.org/officeDocument/2006/relationships/hyperlink" Target="https://broward.ghost.io/2023/01/13/skittles-autopsy/" TargetMode="External"/><Relationship Id="rId56" Type="http://schemas.openxmlformats.org/officeDocument/2006/relationships/hyperlink" Target="https://broward.ghost.io/2014/01/09/defcon/" TargetMode="External"/><Relationship Id="rId57" Type="http://schemas.openxmlformats.org/officeDocument/2006/relationships/hyperlink" Target="https://broward.ghost.io/2024/05/19/cost-of-information/" TargetMode="External"/><Relationship Id="rId58" Type="http://schemas.openxmlformats.org/officeDocument/2006/relationships/hyperlink" Target="https://broward.ghost.io/BRICS" TargetMode="External"/><Relationship Id="rId59" Type="http://schemas.openxmlformats.org/officeDocument/2006/relationships/hyperlink" Target="https://broward.ghost.io/aws_app_1" TargetMode="External"/><Relationship Id="rId60" Type="http://schemas.openxmlformats.org/officeDocument/2006/relationships/hyperlink" Target="https://broward.ghost.io/stablecoin_hack" TargetMode="External"/><Relationship Id="rId61" Type="http://schemas.openxmlformats.org/officeDocument/2006/relationships/hyperlink" Target="https://broward.ghost.io/miner_bankruptcy" TargetMode="External"/><Relationship Id="rId62" Type="http://schemas.openxmlformats.org/officeDocument/2006/relationships/hyperlink" Target="https://broward.ghost.io/polymorphic_api/" TargetMode="External"/><Relationship Id="rId63" Type="http://schemas.openxmlformats.org/officeDocument/2006/relationships/hyperlink" Target="https://broward.ghost.io/crypto_platform" TargetMode="External"/><Relationship Id="rId64" Type="http://schemas.openxmlformats.org/officeDocument/2006/relationships/hyperlink" Target="https://broward.ghost.io/payment_system" TargetMode="External"/><Relationship Id="rId65" Type="http://schemas.openxmlformats.org/officeDocument/2006/relationships/hyperlink" Target="https://broward.ghost.io/bitcoin_scalability" TargetMode="External"/><Relationship Id="rId66" Type="http://schemas.openxmlformats.org/officeDocument/2006/relationships/hyperlink" Target="https://broward.ghost.io/digital_money_trust" TargetMode="External"/><Relationship Id="rId67" Type="http://schemas.openxmlformats.org/officeDocument/2006/relationships/hyperlink" Target="https://broward.ghost.io/digital_on_IoT" TargetMode="External"/><Relationship Id="rId68" Type="http://schemas.openxmlformats.org/officeDocument/2006/relationships/hyperlink" Target="https://broward.ghost.io/aetna" TargetMode="External"/><Relationship Id="rId69" Type="http://schemas.openxmlformats.org/officeDocument/2006/relationships/hyperlink" Target="https://broward.ghost.io/avnet" TargetMode="External"/><Relationship Id="rId70" Type="http://schemas.openxmlformats.org/officeDocument/2006/relationships/hyperlink" Target="https://broward.ghost.io/multi-tenant" TargetMode="External"/><Relationship Id="rId71" Type="http://schemas.openxmlformats.org/officeDocument/2006/relationships/hyperlink" Target="https://broward.ghost.io/FHWA/" TargetMode="External"/><Relationship Id="rId72" Type="http://schemas.openxmlformats.org/officeDocument/2006/relationships/hyperlink" Target="https://broward.ghost.io/hack_the_planet" TargetMode="Externa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70</TotalTime>
  <Application>LibreOffice/24.2.7.2$Linux_X86_64 LibreOffice_project/420$Build-2</Application>
  <AppVersion>15.0000</AppVersion>
  <Pages>7</Pages>
  <Words>1202</Words>
  <Characters>6673</Characters>
  <CharactersWithSpaces>7846</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2025-05-24T18:14:30Z</cp:lastPrinted>
  <dcterms:modified xsi:type="dcterms:W3CDTF">2025-05-24T22:13:58Z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