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png" ContentType="image/png"/>
  <Override PartName="/word/media/image9.jpeg" ContentType="image/jpeg"/>
  <Override PartName="/word/media/image4.jpeg" ContentType="image/jpeg"/>
  <Override PartName="/word/media/image5.jpeg" ContentType="image/jpeg"/>
  <Override PartName="/word/media/image10.jpeg" ContentType="image/jpeg"/>
  <Override PartName="/word/media/image6.jpeg" ContentType="image/jpeg"/>
  <Override PartName="/word/media/image7.png" ContentType="image/png"/>
  <Override PartName="/word/media/image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color w:val="5B9BD5"/>
        </w:rPr>
      </w:pPr>
      <w:r>
        <w:drawing>
          <wp:anchor behindDoc="0" distT="0" distB="0" distL="0" distR="0" simplePos="0" locked="0" layoutInCell="0" allowOverlap="1" relativeHeight="2">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a:noFill/>
                  </pic:spPr>
                </pic:pic>
              </a:graphicData>
            </a:graphic>
          </wp:anchor>
        </w:drawing>
      </w:r>
      <w:r>
        <w:rPr>
          <w:color w:val="5B9BD5"/>
        </w:rPr>
        <w:t>GOLD DIGR White Paper – 202</w:t>
      </w:r>
      <w:r>
        <w:rPr>
          <w:color w:val="5B9BD5"/>
        </w:rPr>
        <w:t>5</w:t>
      </w:r>
      <w:r>
        <w:rPr>
          <w:color w:val="5B9BD5"/>
        </w:rPr>
        <w:t xml:space="preserve">, Ver </w:t>
      </w:r>
      <w:r>
        <w:rPr>
          <w:color w:val="5B9BD5"/>
        </w:rPr>
        <w:t>8</w:t>
      </w:r>
    </w:p>
    <w:p>
      <w:pPr>
        <w:pStyle w:val="Heading2"/>
        <w:spacing w:lineRule="atLeast" w:line="0"/>
        <w:rPr/>
      </w:pPr>
      <w:r>
        <w:rPr/>
        <w:t>Broward Horne, Tallahassee, FL</w:t>
      </w:r>
    </w:p>
    <w:p>
      <w:pPr>
        <w:pStyle w:val="Heading2"/>
        <w:spacing w:lineRule="atLeast" w:line="0"/>
        <w:rPr/>
      </w:pPr>
      <w:r>
        <w:rPr>
          <w:rStyle w:val="Hyperlink"/>
        </w:rPr>
        <w:t>browardhorne@gmail.com</w:t>
      </w:r>
    </w:p>
    <w:p>
      <w:pPr>
        <w:pStyle w:val="Heading2"/>
        <w:spacing w:lineRule="atLeast" w:line="0"/>
        <w:rPr/>
      </w:pPr>
      <w:hyperlink r:id="rId3">
        <w:r>
          <w:rPr>
            <w:rStyle w:val="Hyperlink"/>
          </w:rPr>
          <w:t>https://broward.ghost.io/token/</w:t>
        </w:r>
      </w:hyperlink>
    </w:p>
    <w:p>
      <w:pPr>
        <w:pStyle w:val="Normal"/>
        <w:bidi w:val="0"/>
        <w:jc w:val="left"/>
        <w:rPr/>
      </w:pPr>
      <w:r>
        <w:rPr/>
        <w:br/>
        <w:t xml:space="preserve">Download current version at </w:t>
      </w:r>
      <w:hyperlink r:id="rId4">
        <w:r>
          <w:rPr>
            <w:rStyle w:val="Hyperlink"/>
          </w:rPr>
          <w:t>https://broward.ghost.io/current-gold-paper</w:t>
        </w:r>
      </w:hyperlink>
    </w:p>
    <w:p>
      <w:pPr>
        <w:pStyle w:val="Heading3"/>
        <w:bidi w:val="0"/>
        <w:jc w:val="left"/>
        <w:rPr/>
      </w:pPr>
      <w:r>
        <w:rPr>
          <w:b/>
        </w:rPr>
        <w:t>Abstract</w:t>
      </w:r>
      <w:r>
        <w:rPr/>
        <w:t>:</w:t>
      </w:r>
    </w:p>
    <w:p>
      <w:pPr>
        <w:pStyle w:val="Normal"/>
        <w:bidi w:val="0"/>
        <w:jc w:val="left"/>
        <w:rPr/>
      </w:pPr>
      <w:r>
        <w:rPr/>
        <w:t xml:space="preserve">This paper contains </w:t>
      </w:r>
      <w:r>
        <w:rPr/>
        <w:t xml:space="preserve">a </w:t>
      </w:r>
      <w:r>
        <w:rPr/>
        <w:t xml:space="preserve">proposal </w:t>
      </w:r>
      <w:r>
        <w:rPr/>
        <w:t>for</w:t>
      </w:r>
      <w:r>
        <w:rPr/>
        <w:t xml:space="preserve"> a </w:t>
      </w:r>
      <w:r>
        <w:rPr>
          <w:b/>
          <w:bCs/>
        </w:rPr>
        <w:t>State Depository Token (SDT)</w:t>
      </w:r>
      <w:r>
        <w:rPr/>
        <w:t xml:space="preserve"> backed by a State-regulated depository similar to Texas </w:t>
      </w:r>
      <w:hyperlink r:id="rId5">
        <w:r>
          <w:rPr>
            <w:rStyle w:val="Hyperlink"/>
          </w:rPr>
          <w:t>House Bill 1056</w:t>
        </w:r>
      </w:hyperlink>
      <w:r>
        <w:rPr/>
        <w:t xml:space="preserve"> and </w:t>
      </w:r>
      <w:hyperlink r:id="rId6">
        <w:r>
          <w:rPr>
            <w:rStyle w:val="Hyperlink"/>
          </w:rPr>
          <w:t>House Bill 1049</w:t>
        </w:r>
      </w:hyperlink>
      <w:r>
        <w:rPr/>
        <w:t xml:space="preserve">, </w:t>
      </w:r>
      <w:r>
        <w:rPr/>
        <w:t xml:space="preserve">including </w:t>
      </w:r>
      <w:r>
        <w:rPr/>
        <w:t xml:space="preserve">an overview of historical and political forces‚ current legislation and strategic design.  </w:t>
      </w:r>
      <w:r>
        <w:rPr>
          <w:b w:val="false"/>
          <w:bCs w:val="false"/>
        </w:rPr>
        <w:t xml:space="preserve">My goal is to create a real system via State </w:t>
      </w:r>
      <w:r>
        <w:rPr>
          <w:b w:val="false"/>
          <w:bCs w:val="false"/>
        </w:rPr>
        <w:t xml:space="preserve">funding, grants,  </w:t>
      </w:r>
      <w:r>
        <w:rPr>
          <w:b w:val="false"/>
          <w:bCs w:val="false"/>
        </w:rPr>
        <w:t xml:space="preserve">consulting, sponsorship. etc.  I have the skills to do it, </w:t>
      </w:r>
      <w:hyperlink r:id="rId7">
        <w:r>
          <w:rPr>
            <w:rStyle w:val="Hyperlink"/>
            <w:b w:val="false"/>
            <w:bCs w:val="false"/>
          </w:rPr>
          <w:t xml:space="preserve">my_background is </w:t>
        </w:r>
        <w:r>
          <w:rPr>
            <w:rStyle w:val="Hyperlink"/>
          </w:rPr>
          <w:t>eclectic</w:t>
        </w:r>
      </w:hyperlink>
      <w:r>
        <w:rPr>
          <w:b w:val="false"/>
          <w:bCs w:val="false"/>
        </w:rPr>
        <w:t xml:space="preserve"> and spans </w:t>
      </w:r>
      <w:r>
        <w:rPr>
          <w:b w:val="false"/>
          <w:bCs w:val="false"/>
        </w:rPr>
        <w:t xml:space="preserve">startups, </w:t>
      </w:r>
      <w:r>
        <w:rPr>
          <w:b w:val="false"/>
          <w:bCs w:val="false"/>
        </w:rPr>
        <w:t xml:space="preserve"> corporations‚ State and Federal systems for 35 years.  </w:t>
      </w:r>
    </w:p>
    <w:p>
      <w:pPr>
        <w:pStyle w:val="Normal"/>
        <w:bidi w:val="0"/>
        <w:jc w:val="left"/>
        <w:rPr>
          <w:b w:val="false"/>
          <w:bCs w:val="false"/>
        </w:rPr>
      </w:pPr>
      <w:r>
        <w:rPr>
          <w:b w:val="false"/>
          <w:bCs w:val="false"/>
        </w:rPr>
      </w:r>
    </w:p>
    <w:p>
      <w:pPr>
        <w:pStyle w:val="Normal"/>
        <w:bidi w:val="0"/>
        <w:jc w:val="left"/>
        <w:rPr/>
      </w:pPr>
      <w:r>
        <w:rPr>
          <w:b w:val="false"/>
          <w:bCs w:val="false"/>
        </w:rPr>
        <w:t>D</w:t>
      </w:r>
      <w:r>
        <w:rPr>
          <w:b w:val="false"/>
          <w:bCs w:val="false"/>
        </w:rPr>
        <w:t>esign and cod</w:t>
      </w:r>
      <w:r>
        <w:rPr>
          <w:b w:val="false"/>
          <w:bCs w:val="false"/>
        </w:rPr>
        <w:t>e for</w:t>
      </w:r>
      <w:r>
        <w:rPr>
          <w:b w:val="false"/>
          <w:bCs w:val="false"/>
        </w:rPr>
        <w:t xml:space="preserve"> </w:t>
      </w:r>
      <w:hyperlink r:id="rId8">
        <w:r>
          <w:rPr>
            <w:rStyle w:val="Hyperlink"/>
            <w:b w:val="false"/>
            <w:bCs w:val="false"/>
          </w:rPr>
          <w:t>a prototype system</w:t>
        </w:r>
      </w:hyperlink>
      <w:r>
        <w:rPr>
          <w:b w:val="false"/>
          <w:bCs w:val="false"/>
        </w:rPr>
        <w:t xml:space="preserve"> </w:t>
      </w:r>
      <w:r>
        <w:rPr>
          <w:b w:val="false"/>
          <w:bCs w:val="false"/>
        </w:rPr>
        <w:t xml:space="preserve">is </w:t>
      </w:r>
      <w:r>
        <w:rPr>
          <w:b w:val="false"/>
          <w:bCs w:val="false"/>
        </w:rPr>
        <w:t xml:space="preserve">at </w:t>
      </w:r>
      <w:hyperlink r:id="rId9">
        <w:r>
          <w:rPr>
            <w:rStyle w:val="Hyperlink"/>
            <w:b w:val="false"/>
            <w:bCs w:val="false"/>
          </w:rPr>
          <w:t>https://github.com/broward/token</w:t>
        </w:r>
      </w:hyperlink>
      <w:r>
        <w:rPr>
          <w:rStyle w:val="Hyperlink"/>
          <w:b w:val="false"/>
          <w:bCs w:val="false"/>
        </w:rPr>
        <w:t>.</w:t>
      </w:r>
    </w:p>
    <w:p>
      <w:pPr>
        <w:pStyle w:val="Normal"/>
        <w:bidi w:val="0"/>
        <w:jc w:val="left"/>
        <w:rPr>
          <w:color w:val="333333"/>
        </w:rPr>
      </w:pPr>
      <w:r>
        <w:rPr/>
      </w:r>
    </w:p>
    <w:p>
      <w:pPr>
        <w:pStyle w:val="Normal"/>
        <w:widowControl/>
        <w:bidi w:val="0"/>
        <w:spacing w:before="0" w:after="0"/>
        <w:ind w:hanging="0" w:left="0" w:right="0"/>
        <w:jc w:val="left"/>
        <w:rPr>
          <w:rStyle w:val="Hyperlink"/>
          <w:b w:val="false"/>
          <w:bCs w:val="false"/>
          <w:color w:val="333333"/>
          <w:u w:val="none"/>
        </w:rPr>
      </w:pPr>
      <w:r>
        <w:rPr/>
      </w:r>
    </w:p>
    <w:p>
      <w:pPr>
        <w:pStyle w:val="Heading4"/>
        <w:bidi w:val="0"/>
        <w:spacing w:before="0" w:after="115"/>
        <w:jc w:val="left"/>
        <w:rPr/>
      </w:pPr>
      <w:r>
        <w:rPr>
          <w:rFonts w:ascii="Times New Roman" w:hAnsi="Times New Roman"/>
          <w:b w:val="false"/>
          <w:bCs w:val="false"/>
          <w:i w:val="false"/>
          <w:caps w:val="false"/>
          <w:smallCaps w:val="false"/>
          <w:color w:val="0000FF"/>
          <w:spacing w:val="0"/>
          <w:sz w:val="24"/>
          <w:szCs w:val="24"/>
        </w:rPr>
        <w:t>Law Of Demeter:</w:t>
      </w:r>
      <w:r>
        <w:rPr>
          <w:rFonts w:ascii="Times New Roman" w:hAnsi="Times New Roman"/>
          <w:b w:val="false"/>
          <w:bCs w:val="false"/>
          <w:i w:val="false"/>
          <w:caps w:val="false"/>
          <w:smallCaps w:val="false"/>
          <w:color w:val="5983B0"/>
          <w:spacing w:val="0"/>
          <w:sz w:val="24"/>
          <w:szCs w:val="24"/>
        </w:rPr>
        <w:t xml:space="preserve"> </w:t>
      </w:r>
      <w:r>
        <w:rPr>
          <w:rFonts w:ascii="Times New Roman" w:hAnsi="Times New Roman"/>
          <w:b w:val="false"/>
          <w:bCs w:val="false"/>
          <w:i w:val="false"/>
          <w:caps w:val="false"/>
          <w:smallCaps w:val="false"/>
          <w:color w:val="333333"/>
          <w:spacing w:val="0"/>
          <w:sz w:val="24"/>
          <w:szCs w:val="24"/>
        </w:rPr>
        <w:t xml:space="preserve">"An object should have minimal knowledge (dependencies) of other objects; </w:t>
      </w:r>
      <w:r>
        <w:rPr>
          <w:rFonts w:ascii="Times New Roman" w:hAnsi="Times New Roman"/>
          <w:b w:val="false"/>
          <w:bCs w:val="false"/>
          <w:i w:val="false"/>
          <w:caps w:val="false"/>
          <w:smallCaps w:val="false"/>
          <w:color w:val="333333"/>
          <w:spacing w:val="0"/>
          <w:sz w:val="24"/>
          <w:szCs w:val="24"/>
        </w:rPr>
        <w:t>paraphrased it says that</w:t>
      </w:r>
      <w:r>
        <w:rPr>
          <w:rFonts w:ascii="Times New Roman" w:hAnsi="Times New Roman"/>
          <w:b w:val="false"/>
          <w:bCs w:val="false"/>
          <w:i w:val="false"/>
          <w:caps w:val="false"/>
          <w:smallCaps w:val="false"/>
          <w:color w:val="333333"/>
          <w:spacing w:val="0"/>
          <w:sz w:val="24"/>
          <w:szCs w:val="24"/>
        </w:rPr>
        <w:t xml:space="preserve"> "closer is better".</w:t>
      </w:r>
    </w:p>
    <w:p>
      <w:pPr>
        <w:pStyle w:val="Heading4"/>
        <w:bidi w:val="0"/>
        <w:spacing w:before="0" w:after="115"/>
        <w:jc w:val="left"/>
        <w:rPr>
          <w:rFonts w:ascii="Times New Roman" w:hAnsi="Times New Roman"/>
          <w:b w:val="false"/>
          <w:bCs w:val="false"/>
          <w:i w:val="false"/>
          <w:caps w:val="false"/>
          <w:smallCaps w:val="false"/>
          <w:color w:val="333333"/>
          <w:spacing w:val="0"/>
          <w:sz w:val="24"/>
          <w:szCs w:val="24"/>
        </w:rPr>
      </w:pPr>
      <w:r>
        <w:rPr/>
      </w:r>
    </w:p>
    <w:p>
      <w:pPr>
        <w:pStyle w:val="Heading4"/>
        <w:bidi w:val="0"/>
        <w:spacing w:before="0" w:after="115"/>
        <w:jc w:val="left"/>
        <w:rPr/>
      </w:pPr>
      <w:r>
        <w:rPr>
          <w:rFonts w:ascii="Times New Roman" w:hAnsi="Times New Roman"/>
          <w:b w:val="false"/>
          <w:bCs w:val="false"/>
          <w:i w:val="false"/>
          <w:caps w:val="false"/>
          <w:smallCaps w:val="false"/>
          <w:color w:val="0000FF"/>
          <w:spacing w:val="0"/>
          <w:sz w:val="24"/>
          <w:szCs w:val="24"/>
        </w:rPr>
        <w:t xml:space="preserve">Buddhist Economics: </w:t>
      </w:r>
      <w:r>
        <w:rPr>
          <w:rFonts w:ascii="Times New Roman" w:hAnsi="Times New Roman"/>
          <w:b w:val="false"/>
          <w:bCs w:val="false"/>
          <w:i w:val="false"/>
          <w:caps w:val="false"/>
          <w:smallCaps w:val="false"/>
          <w:color w:val="333333"/>
          <w:spacing w:val="0"/>
          <w:sz w:val="24"/>
          <w:szCs w:val="24"/>
        </w:rPr>
        <w:t>"production from local resources for local needs is the most rational way of economic life... imports from afar.. are uneconomic... exceptional cases"</w:t>
      </w:r>
    </w:p>
    <w:p>
      <w:pPr>
        <w:pStyle w:val="Normal"/>
        <w:bidi w:val="0"/>
        <w:jc w:val="left"/>
        <w:rPr>
          <w:b w:val="false"/>
          <w:bCs w:val="false"/>
          <w:color w:val="0000FF"/>
        </w:rPr>
      </w:pPr>
      <w:r>
        <w:rPr/>
      </w:r>
    </w:p>
    <w:p>
      <w:pPr>
        <w:pStyle w:val="Normal"/>
        <w:bidi w:val="0"/>
        <w:jc w:val="left"/>
        <w:rPr/>
      </w:pPr>
      <w:r>
        <w:rPr>
          <w:b w:val="false"/>
          <w:bCs w:val="false"/>
          <w:color w:val="0000FF"/>
        </w:rPr>
        <w:t>Parasocial relationships</w:t>
      </w:r>
      <w:r>
        <w:rPr>
          <w:b w:val="false"/>
          <w:bCs w:val="false"/>
        </w:rPr>
        <w:t xml:space="preserve"> are one-sided, where one party extends energy and time with the other party unaware of the other’s existence.  </w:t>
      </w:r>
      <w:r>
        <w:rPr>
          <w:rFonts w:ascii="Times new roman" w:hAnsi="Times new roman"/>
          <w:b w:val="false"/>
          <w:bCs w:val="false"/>
          <w:i w:val="false"/>
          <w:caps w:val="false"/>
          <w:smallCaps w:val="false"/>
          <w:color w:val="333333"/>
          <w:spacing w:val="0"/>
          <w:sz w:val="24"/>
          <w:szCs w:val="24"/>
        </w:rPr>
        <w:t>The dollar is an increasingly parasocial relationship which transfers value from citizens to an elite minority, just as a celebrity profits from fans with no knowledge or concern for them.</w:t>
      </w:r>
    </w:p>
    <w:p>
      <w:pPr>
        <w:pStyle w:val="Heading3"/>
        <w:rPr/>
      </w:pPr>
      <w:r>
        <w:rPr/>
        <w:t>SDT Overview</w:t>
      </w:r>
    </w:p>
    <w:p>
      <w:pPr>
        <w:pStyle w:val="Normal"/>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SDT.</w:t>
      </w:r>
    </w:p>
    <w:p>
      <w:pPr>
        <w:pStyle w:val="Normal"/>
        <w:rPr>
          <w:rFonts w:ascii="Times new roman" w:hAnsi="Times new roman"/>
          <w:b w:val="false"/>
          <w:i w:val="false"/>
          <w:i w:val="false"/>
          <w:caps w:val="false"/>
          <w:smallCaps w:val="false"/>
          <w:color w:themeColor="accent1" w:val="333333"/>
          <w:spacing w:val="0"/>
          <w:sz w:val="24"/>
          <w:szCs w:val="24"/>
        </w:rPr>
      </w:pPr>
      <w:r>
        <w:rPr>
          <w:rFonts w:ascii="Times new roman" w:hAnsi="Times new roman"/>
          <w:b w:val="false"/>
          <w:i w:val="false"/>
          <w:caps w:val="false"/>
          <w:smallCaps w:val="false"/>
          <w:color w:themeColor="accent1" w:val="333333"/>
          <w:spacing w:val="0"/>
          <w:sz w:val="24"/>
          <w:szCs w:val="24"/>
        </w:rPr>
      </w:r>
    </w:p>
    <w:p>
      <w:pPr>
        <w:pStyle w:val="Normal"/>
        <w:rPr>
          <w:rFonts w:ascii="Times new roman" w:hAnsi="Times new roman"/>
          <w:b w:val="false"/>
          <w:i w:val="false"/>
          <w:i w:val="false"/>
          <w:caps w:val="false"/>
          <w:smallCaps w:val="false"/>
          <w:color w:themeColor="accent1" w:val="333333"/>
          <w:spacing w:val="0"/>
          <w:sz w:val="24"/>
          <w:szCs w:val="24"/>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94830" cy="2400300"/>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6894830" cy="2400300"/>
                    </a:xfrm>
                    <a:prstGeom prst="rect">
                      <a:avLst/>
                    </a:prstGeom>
                    <a:noFill/>
                  </pic:spPr>
                </pic:pic>
              </a:graphicData>
            </a:graphic>
          </wp:anchor>
        </w:drawing>
      </w:r>
    </w:p>
    <w:p>
      <w:pPr>
        <w:pStyle w:val="Heading4"/>
        <w:bidi w:val="0"/>
        <w:spacing w:before="0" w:after="115"/>
        <w:jc w:val="left"/>
        <w:rPr/>
      </w:pPr>
      <w:r>
        <w:rPr>
          <w:b/>
        </w:rPr>
        <w:t>Impedance-Matched Token</w:t>
      </w:r>
    </w:p>
    <w:p>
      <w:pPr>
        <w:pStyle w:val="Normal"/>
        <w:bidi w:val="0"/>
        <w:jc w:val="left"/>
        <w:rPr/>
      </w:pPr>
      <w:r>
        <w:rPr/>
        <w:t xml:space="preserve">The Euro is somewhat like harnessing a horse, a mule, a dog and a turtle to pull a wagon. A "one size fits all" strategy creates stresses because regions have different resources, skills, goals. Most economic transactions are local and an SDT would be controlled </w:t>
      </w:r>
      <w:r>
        <w:rPr/>
        <w:t>locally</w:t>
      </w:r>
      <w:r>
        <w:rPr/>
        <w:t>.</w:t>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138430</wp:posOffset>
            </wp:positionV>
            <wp:extent cx="5920740" cy="36830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1"/>
                    <a:stretch>
                      <a:fillRect/>
                    </a:stretch>
                  </pic:blipFill>
                  <pic:spPr bwMode="auto">
                    <a:xfrm>
                      <a:off x="0" y="0"/>
                      <a:ext cx="5920740" cy="3683000"/>
                    </a:xfrm>
                    <a:prstGeom prst="rect">
                      <a:avLst/>
                    </a:prstGeom>
                    <a:noFill/>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w:t>
      </w:r>
      <w:r>
        <w:rPr/>
        <w:t xml:space="preserve">n SDT platform can </w:t>
      </w:r>
      <w:r>
        <w:rPr/>
        <w:t xml:space="preserve">adapt to regional conditions, </w:t>
      </w:r>
      <w:r>
        <w:rPr/>
        <w:t>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17145</wp:posOffset>
            </wp:positionV>
            <wp:extent cx="4756150" cy="2459355"/>
            <wp:effectExtent l="0" t="0" r="0" b="0"/>
            <wp:wrapSquare wrapText="largest"/>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12"/>
                    <a:stretch>
                      <a:fillRect/>
                    </a:stretch>
                  </pic:blipFill>
                  <pic:spPr bwMode="auto">
                    <a:xfrm>
                      <a:off x="0" y="0"/>
                      <a:ext cx="4756150" cy="2459355"/>
                    </a:xfrm>
                    <a:prstGeom prst="rect">
                      <a:avLst/>
                    </a:prstGeom>
                    <a:noFill/>
                  </pic:spPr>
                </pic:pic>
              </a:graphicData>
            </a:graphic>
          </wp:anchor>
        </w:drawing>
      </w:r>
      <w:r>
        <w:br w:type="page"/>
      </w:r>
    </w:p>
    <w:p>
      <w:pPr>
        <w:pStyle w:val="Heading3"/>
        <w:bidi w:val="0"/>
        <w:spacing w:before="0" w:after="115"/>
        <w:jc w:val="left"/>
        <w:rPr/>
      </w:pPr>
      <w:r>
        <w:rPr/>
        <w:t xml:space="preserve">Historical Background </w:t>
      </w:r>
    </w:p>
    <w:p>
      <w:pPr>
        <w:pStyle w:val="Normal"/>
        <w:bidi w:val="0"/>
        <w:jc w:val="left"/>
        <w:rPr>
          <w:b w:val="false"/>
          <w:bCs w:val="false"/>
        </w:rPr>
      </w:pPr>
      <w:r>
        <w:rPr>
          <w:b w:val="false"/>
          <w:bCs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
        <w:bidi w:val="0"/>
        <w:jc w:val="left"/>
        <w:rPr>
          <w:b/>
        </w:rPr>
      </w:pPr>
      <w:r>
        <w:rPr>
          <w:b/>
        </w:rPr>
      </w:r>
    </w:p>
    <w:p>
      <w:pPr>
        <w:pStyle w:val="Heading3"/>
        <w:bidi w:val="0"/>
        <w:spacing w:before="0" w:after="115"/>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briefly abandoned its gold standard in unusual situations (Civil war, World War 1, etc). Russia's central bank has steadily increased gold reserves since 2009 to over 2,330 metric tons. China has consistently increased gold reserves since 2009 to over 2,264 metric tons.</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token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09995" cy="193738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3"/>
                    <a:stretch>
                      <a:fillRect/>
                    </a:stretch>
                  </pic:blipFill>
                  <pic:spPr bwMode="auto">
                    <a:xfrm>
                      <a:off x="0" y="0"/>
                      <a:ext cx="6309995" cy="1937385"/>
                    </a:xfrm>
                    <a:prstGeom prst="rect">
                      <a:avLst/>
                    </a:prstGeom>
                    <a:noFill/>
                  </pic:spPr>
                </pic:pic>
              </a:graphicData>
            </a:graphic>
          </wp:anchor>
        </w:drawing>
      </w:r>
      <w:r>
        <w:rPr>
          <w:b/>
        </w:rPr>
        <w:br/>
      </w:r>
    </w:p>
    <w:p>
      <w:pPr>
        <w:pStyle w:val="Heading3"/>
        <w:bidi w:val="0"/>
        <w:jc w:val="left"/>
        <w:rPr>
          <w:b/>
        </w:rPr>
      </w:pPr>
      <w:r>
        <w:rPr/>
      </w:r>
    </w:p>
    <w:p>
      <w:pPr>
        <w:pStyle w:val="Heading3"/>
        <w:bidi w:val="0"/>
        <w:jc w:val="left"/>
        <w:rPr>
          <w:b/>
        </w:rPr>
      </w:pPr>
      <w:r>
        <w:rPr/>
      </w:r>
    </w:p>
    <w:p>
      <w:pPr>
        <w:pStyle w:val="Heading3"/>
        <w:bidi w:val="0"/>
        <w:jc w:val="left"/>
        <w:rPr>
          <w:b/>
        </w:rPr>
      </w:pPr>
      <w:r>
        <w:rPr/>
      </w:r>
    </w:p>
    <w:p>
      <w:pPr>
        <w:pStyle w:val="Heading3"/>
        <w:bidi w:val="0"/>
        <w:jc w:val="left"/>
        <w:rPr>
          <w:b/>
        </w:rPr>
      </w:pPr>
      <w:r>
        <w:rPr/>
      </w:r>
    </w:p>
    <w:p>
      <w:pPr>
        <w:pStyle w:val="Heading3"/>
        <w:bidi w:val="0"/>
        <w:jc w:val="left"/>
        <w:rPr/>
      </w:pPr>
      <w:r>
        <w:rPr>
          <w:b/>
        </w:rPr>
        <w:t>Interest Payments</w:t>
      </w:r>
    </w:p>
    <w:p>
      <w:pPr>
        <w:pStyle w:val="Normal"/>
        <w:bidi w:val="0"/>
        <w:jc w:val="left"/>
        <w:rPr/>
      </w:pPr>
      <w:r>
        <w:rPr/>
        <w:t xml:space="preserve">The current rate of increase in </w:t>
      </w:r>
      <w:hyperlink r:id="rId14">
        <w:r>
          <w:rPr>
            <w:rStyle w:val="Hyperlink"/>
          </w:rPr>
          <w:t>Federal debt interest payments</w:t>
        </w:r>
      </w:hyperlink>
      <w:r>
        <w:rPr/>
        <w:t xml:space="preserve"> is unsustainable.</w:t>
      </w:r>
    </w:p>
    <w:p>
      <w:pPr>
        <w:pStyle w:val="Normal"/>
        <w:bidi w:val="0"/>
        <w:jc w:val="left"/>
        <w:rPr/>
      </w:pPr>
      <w:r>
        <w:rPr/>
      </w:r>
    </w:p>
    <w:p>
      <w:pPr>
        <w:pStyle w:val="Normal"/>
        <w:bidi w:val="0"/>
        <w:jc w:val="left"/>
        <w:rPr>
          <w:b/>
        </w:rPr>
      </w:pPr>
      <w:r>
        <w:rPr>
          <w:b/>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94830" cy="289369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5"/>
                    <a:stretch>
                      <a:fillRect/>
                    </a:stretch>
                  </pic:blipFill>
                  <pic:spPr bwMode="auto">
                    <a:xfrm>
                      <a:off x="0" y="0"/>
                      <a:ext cx="6894830" cy="2893695"/>
                    </a:xfrm>
                    <a:prstGeom prst="rect">
                      <a:avLst/>
                    </a:prstGeom>
                    <a:noFill/>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p>
    <w:p>
      <w:pPr>
        <w:pStyle w:val="Heading3"/>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894830" cy="3753485"/>
            <wp:effectExtent l="0" t="0" r="0" b="0"/>
            <wp:wrapSquare wrapText="largest"/>
            <wp:docPr id="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 descr=""/>
                    <pic:cNvPicPr>
                      <a:picLocks noChangeAspect="1" noChangeArrowheads="1"/>
                    </pic:cNvPicPr>
                  </pic:nvPicPr>
                  <pic:blipFill>
                    <a:blip r:embed="rId16"/>
                    <a:stretch>
                      <a:fillRect/>
                    </a:stretch>
                  </pic:blipFill>
                  <pic:spPr bwMode="auto">
                    <a:xfrm>
                      <a:off x="0" y="0"/>
                      <a:ext cx="6894830" cy="3753485"/>
                    </a:xfrm>
                    <a:prstGeom prst="rect">
                      <a:avLst/>
                    </a:prstGeom>
                    <a:noFill/>
                  </pic:spPr>
                </pic:pic>
              </a:graphicData>
            </a:graphic>
          </wp:anchor>
        </w:drawing>
      </w:r>
      <w:r>
        <w:rPr>
          <w:b/>
        </w:rPr>
        <w:t>De-dollarization</w:t>
      </w:r>
    </w:p>
    <w:p>
      <w:pPr>
        <w:pStyle w:val="Normal"/>
        <w:bidi w:val="0"/>
        <w:jc w:val="left"/>
        <w:rPr/>
      </w:pPr>
      <w:r>
        <w:rPr/>
        <w:t>The BRICS coalition will use their oligopoly power to control commodity prices and bypass the US Dollar. BRICS  control 50% of the world's food supply, 70% of the microchip supply (China + Taiwan) and almost 50% of world oil reserves.  As of Oct, 2024, 13 more countries joined BRICS as limited partners.</w:t>
      </w:r>
    </w:p>
    <w:p>
      <w:pPr>
        <w:pStyle w:val="Normal"/>
        <w:bidi w:val="0"/>
        <w:jc w:val="left"/>
        <w:rPr/>
      </w:pPr>
      <w:r>
        <w:rPr/>
      </w:r>
    </w:p>
    <w:p>
      <w:pPr>
        <w:pStyle w:val="Normal"/>
        <w:bidi w:val="0"/>
        <w:jc w:val="left"/>
        <w:rPr>
          <w:color w:themeColor="accent1" w:val="00A933"/>
          <w:sz w:val="40"/>
          <w:szCs w:val="4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672580" cy="3571875"/>
            <wp:effectExtent l="0" t="0" r="0" b="0"/>
            <wp:wrapSquare wrapText="largest"/>
            <wp:docPr id="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pic:cNvPicPr>
                      <a:picLocks noChangeAspect="1" noChangeArrowheads="1"/>
                    </pic:cNvPicPr>
                  </pic:nvPicPr>
                  <pic:blipFill>
                    <a:blip r:embed="rId17"/>
                    <a:stretch>
                      <a:fillRect/>
                    </a:stretch>
                  </pic:blipFill>
                  <pic:spPr bwMode="auto">
                    <a:xfrm>
                      <a:off x="0" y="0"/>
                      <a:ext cx="6672580" cy="3571875"/>
                    </a:xfrm>
                    <a:prstGeom prst="rect">
                      <a:avLst/>
                    </a:prstGeom>
                    <a:noFill/>
                  </pic:spPr>
                </pic:pic>
              </a:graphicData>
            </a:graphic>
          </wp:anchor>
        </w:drawing>
      </w:r>
      <w:r>
        <w:br w:type="page"/>
      </w:r>
    </w:p>
    <w:p>
      <w:pPr>
        <w:pStyle w:val="Heading4"/>
        <w:spacing w:before="0" w:after="115"/>
        <w:rPr>
          <w:color w:val="00A933"/>
          <w:sz w:val="40"/>
          <w:szCs w:val="40"/>
        </w:rPr>
      </w:pPr>
      <w:r>
        <w:rPr>
          <w:color w:themeColor="accent1" w:val="00A933"/>
          <w:sz w:val="40"/>
          <w:szCs w:val="40"/>
        </w:rPr>
        <w:t>GOLD DIGR Proposal</w:t>
      </w:r>
    </w:p>
    <w:p>
      <w:pPr>
        <w:pStyle w:val="Normal"/>
        <w:rPr/>
      </w:pPr>
      <w:r>
        <w:rPr/>
        <w:t>This is a high-level overview of how the SDT platform works.</w:t>
      </w:r>
    </w:p>
    <w:p>
      <w:pPr>
        <w:pStyle w:val="Normal"/>
        <w:rPr/>
      </w:pPr>
      <w:hyperlink r:id="rId18">
        <w:r>
          <w:rPr>
            <w:rStyle w:val="Hyperlink"/>
          </w:rPr>
          <w:t xml:space="preserve">Github source code </w:t>
        </w:r>
      </w:hyperlink>
      <w:r>
        <w:rPr/>
        <w:t xml:space="preserve">is at </w:t>
      </w:r>
      <w:hyperlink r:id="rId19">
        <w:r>
          <w:rPr>
            <w:rStyle w:val="Hyperlink"/>
          </w:rPr>
          <w:t>https://github.com/broward/token</w:t>
        </w:r>
      </w:hyperlink>
    </w:p>
    <w:p>
      <w:pPr>
        <w:pStyle w:val="Normal"/>
        <w:rPr/>
      </w:pPr>
      <w:r>
        <w:rPr/>
      </w:r>
    </w:p>
    <w:p>
      <w:pPr>
        <w:pStyle w:val="Normal"/>
        <w:rPr/>
      </w:pPr>
      <w:r>
        <w:rPr/>
        <w:t>DEPOSITORY: stores value such as gold / currency / other</w:t>
      </w:r>
    </w:p>
    <w:p>
      <w:pPr>
        <w:pStyle w:val="Normal"/>
        <w:rPr/>
      </w:pPr>
      <w:r>
        <w:rPr/>
        <w:t>API CODE: receives and executes logins, transactions, etc</w:t>
      </w:r>
    </w:p>
    <w:p>
      <w:pPr>
        <w:pStyle w:val="Normal"/>
        <w:rPr/>
      </w:pPr>
      <w:r>
        <w:rPr/>
        <w:t>BLOCKCHAIN MODULE: contains the Quorum blockchain and MPC library</w:t>
      </w:r>
    </w:p>
    <w:p>
      <w:pPr>
        <w:pStyle w:val="Normal"/>
        <w:rPr/>
      </w:pPr>
      <w:r>
        <w:rPr/>
        <w:t>BLOCKCHAIN: equivalent to an accounting ledger</w:t>
      </w:r>
    </w:p>
    <w:p>
      <w:pPr>
        <w:pStyle w:val="Normal"/>
        <w:rPr/>
      </w:pPr>
      <w:r>
        <w:rPr/>
        <w:t>MPC library: equivalent to safety deposit keys, stores key shards in three locations</w:t>
      </w:r>
    </w:p>
    <w:p>
      <w:pPr>
        <w:pStyle w:val="Normal"/>
        <w:rPr/>
      </w:pPr>
      <w:r>
        <w:rPr/>
        <w:t>DOLLAR CLIENT: customer with funds in the State treasury</w:t>
      </w:r>
    </w:p>
    <w:p>
      <w:pPr>
        <w:pStyle w:val="Normal"/>
        <w:rPr/>
      </w:pPr>
      <w:r>
        <w:rPr/>
        <w:t>CASH CLIENT: customer in a separate domain with funds in gold / other depository</w:t>
      </w:r>
    </w:p>
    <w:p>
      <w:pPr>
        <w:pStyle w:val="Normal"/>
        <w:rPr/>
      </w:pPr>
      <w:r>
        <w:rPr/>
      </w:r>
    </w:p>
    <w:p>
      <w:pPr>
        <w:pStyle w:val="Heading4"/>
        <w:spacing w:before="0" w:after="115"/>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11595" cy="340804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0"/>
                    <a:stretch>
                      <a:fillRect/>
                    </a:stretch>
                  </pic:blipFill>
                  <pic:spPr bwMode="auto">
                    <a:xfrm>
                      <a:off x="0" y="0"/>
                      <a:ext cx="6411595" cy="3408045"/>
                    </a:xfrm>
                    <a:prstGeom prst="rect">
                      <a:avLst/>
                    </a:prstGeom>
                    <a:noFill/>
                  </pic:spPr>
                </pic:pic>
              </a:graphicData>
            </a:graphic>
          </wp:anchor>
        </w:drawing>
        <w:drawing>
          <wp:anchor behindDoc="0" distT="0" distB="0" distL="0" distR="0" simplePos="0" locked="0" layoutInCell="0" allowOverlap="1" relativeHeight="7">
            <wp:simplePos x="0" y="0"/>
            <wp:positionH relativeFrom="column">
              <wp:posOffset>232410</wp:posOffset>
            </wp:positionH>
            <wp:positionV relativeFrom="paragraph">
              <wp:posOffset>3576320</wp:posOffset>
            </wp:positionV>
            <wp:extent cx="6404610" cy="3455035"/>
            <wp:effectExtent l="0" t="0" r="0" b="0"/>
            <wp:wrapSquare wrapText="largest"/>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21"/>
                    <a:stretch>
                      <a:fillRect/>
                    </a:stretch>
                  </pic:blipFill>
                  <pic:spPr bwMode="auto">
                    <a:xfrm>
                      <a:off x="0" y="0"/>
                      <a:ext cx="6404610" cy="3455035"/>
                    </a:xfrm>
                    <a:prstGeom prst="rect">
                      <a:avLst/>
                    </a:prstGeom>
                    <a:noFill/>
                  </pic:spPr>
                </pic:pic>
              </a:graphicData>
            </a:graphic>
          </wp:anchor>
        </w:drawing>
      </w:r>
      <w:r>
        <w:rPr/>
        <w:t xml:space="preserve"> </w:t>
      </w:r>
      <w:r>
        <w:br w:type="page"/>
      </w:r>
    </w:p>
    <w:p>
      <w:pPr>
        <w:pStyle w:val="Heading3"/>
        <w:bidi w:val="0"/>
        <w:spacing w:before="0" w:after="115"/>
        <w:jc w:val="left"/>
        <w:rPr/>
      </w:pPr>
      <w:r>
        <w:rPr/>
        <w:t xml:space="preserve">Author </w:t>
      </w:r>
    </w:p>
    <w:p>
      <w:pPr>
        <w:pStyle w:val="Normal"/>
        <w:bidi w:val="0"/>
        <w:ind w:hanging="0" w:left="0" w:right="0"/>
        <w:jc w:val="left"/>
        <w:rPr/>
      </w:pPr>
      <w:r>
        <w:rPr/>
        <w:t>Thirty-five years of eclectic software development, including 7 startups, IT staff at a major university, several USDOT grants and 15 years of corporate consulting. </w:t>
      </w:r>
      <w:hyperlink r:id="rId22">
        <w:r>
          <w:rPr>
            <w:rStyle w:val="Hyperlink"/>
          </w:rPr>
          <w:t>Three DEFCON presentations</w:t>
        </w:r>
      </w:hyperlink>
      <w:r>
        <w:rPr/>
        <w:t> on predictive analytics.</w:t>
      </w:r>
    </w:p>
    <w:p>
      <w:pPr>
        <w:pStyle w:val="Heading4"/>
        <w:bidi w:val="0"/>
        <w:jc w:val="left"/>
        <w:rPr/>
      </w:pPr>
      <w:r>
        <w:rPr>
          <w:b/>
        </w:rPr>
        <w:t>State governments</w:t>
      </w:r>
    </w:p>
    <w:p>
      <w:pPr>
        <w:pStyle w:val="Normal"/>
        <w:bidi w:val="0"/>
        <w:ind w:hanging="0" w:left="0" w:right="0"/>
        <w:jc w:val="left"/>
        <w:rPr/>
      </w:pPr>
      <w:r>
        <w:rPr/>
        <w:t xml:space="preserve">From 1991-1996, I was the original architect of five Federal Highway Administration grants developing the </w:t>
      </w:r>
      <w:hyperlink r:id="rId23">
        <w:r>
          <w:rPr>
            <w:rStyle w:val="Hyperlink"/>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24">
        <w:r>
          <w:rPr>
            <w:rStyle w:val="Hyperlink"/>
          </w:rPr>
          <w:t>Boise State University employee of the year</w:t>
        </w:r>
      </w:hyperlink>
      <w:r>
        <w:rPr/>
        <w:t xml:space="preserve"> in 1994.</w:t>
      </w:r>
    </w:p>
    <w:p>
      <w:pPr>
        <w:pStyle w:val="Heading4"/>
        <w:bidi w:val="0"/>
        <w:jc w:val="left"/>
        <w:rPr/>
      </w:pPr>
      <w:r>
        <w:rPr>
          <w:b/>
        </w:rPr>
        <w:t>Startups</w:t>
      </w:r>
    </w:p>
    <w:p>
      <w:pPr>
        <w:pStyle w:val="BodyText"/>
        <w:numPr>
          <w:ilvl w:val="0"/>
          <w:numId w:val="1"/>
        </w:numPr>
        <w:tabs>
          <w:tab w:val="clear" w:pos="709"/>
          <w:tab w:val="left" w:pos="0" w:leader="none"/>
        </w:tabs>
        <w:spacing w:before="0" w:after="0"/>
        <w:ind w:hanging="283" w:left="375" w:right="0"/>
        <w:rPr/>
      </w:pPr>
      <w:hyperlink r:id="rId25">
        <w:r>
          <w:rPr>
            <w:rStyle w:val="Hyperlink"/>
          </w:rPr>
          <w:t>Federal Highway 1992-96</w:t>
        </w:r>
      </w:hyperlink>
      <w:r>
        <w:rPr/>
        <w:t xml:space="preserve"> </w:t>
      </w:r>
      <w:r>
        <w:rPr>
          <w:color w:val="000000"/>
        </w:rPr>
        <w:t>- R&amp;D on early mobile systems</w:t>
      </w:r>
    </w:p>
    <w:p>
      <w:pPr>
        <w:pStyle w:val="BodyText"/>
        <w:numPr>
          <w:ilvl w:val="0"/>
          <w:numId w:val="1"/>
        </w:numPr>
        <w:tabs>
          <w:tab w:val="clear" w:pos="709"/>
          <w:tab w:val="left" w:pos="0" w:leader="none"/>
        </w:tabs>
        <w:spacing w:before="0" w:after="0"/>
        <w:ind w:hanging="283" w:left="375" w:right="0"/>
        <w:rPr/>
      </w:pPr>
      <w:hyperlink r:id="rId26">
        <w:r>
          <w:rPr>
            <w:rStyle w:val="Hyperlink"/>
          </w:rPr>
          <w:t>Saleslogix 1998-2000</w:t>
        </w:r>
      </w:hyperlink>
      <w:r>
        <w:rPr/>
        <w:t xml:space="preserve"> </w:t>
      </w:r>
      <w:r>
        <w:rPr>
          <w:color w:val="000000"/>
        </w:rPr>
        <w:t>- CRM startup, SDK and Salesforce competitor</w:t>
      </w:r>
    </w:p>
    <w:p>
      <w:pPr>
        <w:pStyle w:val="BodyText"/>
        <w:numPr>
          <w:ilvl w:val="0"/>
          <w:numId w:val="1"/>
        </w:numPr>
        <w:tabs>
          <w:tab w:val="clear" w:pos="709"/>
          <w:tab w:val="left" w:pos="0" w:leader="none"/>
        </w:tabs>
        <w:spacing w:before="0" w:after="0"/>
        <w:ind w:hanging="283" w:left="375" w:right="0"/>
        <w:rPr/>
      </w:pPr>
      <w:hyperlink r:id="rId27">
        <w:r>
          <w:rPr>
            <w:rStyle w:val="Hyperlink"/>
          </w:rPr>
          <w:t>Sunhill Software 2004</w:t>
        </w:r>
      </w:hyperlink>
      <w:r>
        <w:rPr>
          <w:color w:val="000000"/>
        </w:rPr>
        <w:t xml:space="preserve"> - supply chain logistics and KPI</w:t>
      </w:r>
    </w:p>
    <w:p>
      <w:pPr>
        <w:pStyle w:val="BodyText"/>
        <w:numPr>
          <w:ilvl w:val="0"/>
          <w:numId w:val="1"/>
        </w:numPr>
        <w:tabs>
          <w:tab w:val="clear" w:pos="709"/>
          <w:tab w:val="left" w:pos="0" w:leader="none"/>
        </w:tabs>
        <w:spacing w:before="0" w:after="0"/>
        <w:ind w:hanging="283" w:left="375" w:right="0"/>
        <w:rPr/>
      </w:pPr>
      <w:hyperlink r:id="rId28">
        <w:r>
          <w:rPr>
            <w:rStyle w:val="Hyperlink"/>
          </w:rPr>
          <w:t>Gloo 2013</w:t>
        </w:r>
      </w:hyperlink>
      <w:r>
        <w:rPr/>
        <w:t xml:space="preserve"> </w:t>
      </w:r>
      <w:r>
        <w:rPr>
          <w:color w:val="000000"/>
        </w:rPr>
        <w:t>- health &amp; wellness analytics</w:t>
      </w:r>
    </w:p>
    <w:p>
      <w:pPr>
        <w:pStyle w:val="BodyText"/>
        <w:numPr>
          <w:ilvl w:val="0"/>
          <w:numId w:val="1"/>
        </w:numPr>
        <w:tabs>
          <w:tab w:val="clear" w:pos="709"/>
          <w:tab w:val="left" w:pos="0" w:leader="none"/>
        </w:tabs>
        <w:spacing w:before="0" w:after="0"/>
        <w:ind w:hanging="283" w:left="375" w:right="0"/>
        <w:rPr/>
      </w:pPr>
      <w:hyperlink r:id="rId29">
        <w:r>
          <w:rPr>
            <w:rStyle w:val="Hyperlink"/>
          </w:rPr>
          <w:t>DLVR 2016-17</w:t>
        </w:r>
      </w:hyperlink>
      <w:r>
        <w:rPr/>
        <w:t xml:space="preserve"> </w:t>
      </w:r>
      <w:r>
        <w:rPr>
          <w:color w:val="000000"/>
        </w:rPr>
        <w:t>- video analytics</w:t>
      </w:r>
    </w:p>
    <w:p>
      <w:pPr>
        <w:pStyle w:val="BodyText"/>
        <w:numPr>
          <w:ilvl w:val="0"/>
          <w:numId w:val="1"/>
        </w:numPr>
        <w:tabs>
          <w:tab w:val="clear" w:pos="709"/>
          <w:tab w:val="left" w:pos="0" w:leader="none"/>
        </w:tabs>
        <w:spacing w:before="0" w:after="0"/>
        <w:ind w:hanging="283" w:left="375" w:right="0"/>
        <w:rPr/>
      </w:pPr>
      <w:hyperlink r:id="rId30">
        <w:r>
          <w:rPr>
            <w:rStyle w:val="Hyperlink"/>
          </w:rPr>
          <w:t>Sila 2018</w:t>
        </w:r>
      </w:hyperlink>
      <w:r>
        <w:rPr>
          <w:color w:val="000000"/>
        </w:rPr>
        <w:t xml:space="preserve"> - stablecoin SDK and toolkit</w:t>
      </w:r>
    </w:p>
    <w:p>
      <w:pPr>
        <w:pStyle w:val="BodyText"/>
        <w:numPr>
          <w:ilvl w:val="0"/>
          <w:numId w:val="1"/>
        </w:numPr>
        <w:tabs>
          <w:tab w:val="clear" w:pos="709"/>
          <w:tab w:val="left" w:pos="0" w:leader="none"/>
        </w:tabs>
        <w:ind w:hanging="283" w:left="375" w:right="0"/>
        <w:rPr/>
      </w:pPr>
      <w:hyperlink r:id="rId31">
        <w:r>
          <w:rPr>
            <w:rStyle w:val="Hyperlink"/>
          </w:rPr>
          <w:t>Ensomata 2022</w:t>
        </w:r>
      </w:hyperlink>
      <w:r>
        <w:rPr/>
        <w:t xml:space="preserve"> </w:t>
      </w:r>
      <w:r>
        <w:rPr>
          <w:color w:val="000000"/>
        </w:rPr>
        <w:t>- health care analytics</w:t>
      </w:r>
    </w:p>
    <w:p>
      <w:pPr>
        <w:pStyle w:val="Heading4"/>
        <w:bidi w:val="0"/>
        <w:jc w:val="left"/>
        <w:rPr/>
      </w:pPr>
      <w:r>
        <w:rPr>
          <w:b/>
        </w:rPr>
        <w:t>Digital Currencies</w:t>
      </w:r>
    </w:p>
    <w:p>
      <w:pPr>
        <w:pStyle w:val="Normal"/>
        <w:bidi w:val="0"/>
        <w:ind w:hanging="0" w:left="0" w:right="0"/>
        <w:jc w:val="left"/>
        <w:rPr/>
      </w:pPr>
      <w:r>
        <w:rPr/>
        <w:t xml:space="preserve">Hands-on work with three digital currencies – the </w:t>
      </w:r>
      <w:hyperlink r:id="rId32">
        <w:r>
          <w:rPr>
            <w:rStyle w:val="Hyperlink"/>
          </w:rPr>
          <w:t>Digital Money Trust in 1994</w:t>
        </w:r>
      </w:hyperlink>
      <w:r>
        <w:rPr/>
        <w:t xml:space="preserve"> (a precursor to Bitcoin), an </w:t>
      </w:r>
      <w:hyperlink r:id="rId33">
        <w:r>
          <w:rPr>
            <w:rStyle w:val="Hyperlink"/>
          </w:rPr>
          <w:t>IoT token prototype in 2014</w:t>
        </w:r>
      </w:hyperlink>
      <w:r>
        <w:rPr/>
        <w:t xml:space="preserve"> and </w:t>
      </w:r>
      <w:hyperlink r:id="rId34">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ind w:hanging="0" w:left="0" w:right="0"/>
        <w:jc w:val="left"/>
        <w:rPr/>
      </w:pPr>
      <w:r>
        <w:rPr/>
        <w:t xml:space="preserve">Significant projects at </w:t>
      </w:r>
      <w:hyperlink r:id="rId35">
        <w:r>
          <w:rPr>
            <w:rStyle w:val="Hyperlink"/>
          </w:rPr>
          <w:t>Boeing</w:t>
        </w:r>
      </w:hyperlink>
      <w:r>
        <w:rPr/>
        <w:t xml:space="preserve"> (call center), </w:t>
      </w:r>
      <w:hyperlink r:id="rId36">
        <w:r>
          <w:rPr>
            <w:rStyle w:val="Hyperlink"/>
          </w:rPr>
          <w:t>Avnet</w:t>
        </w:r>
      </w:hyperlink>
      <w:r>
        <w:rPr/>
        <w:t xml:space="preserve"> (e-commerce), </w:t>
      </w:r>
      <w:hyperlink r:id="rId37">
        <w:r>
          <w:rPr>
            <w:rStyle w:val="Hyperlink"/>
          </w:rPr>
          <w:t>Aetna</w:t>
        </w:r>
      </w:hyperlink>
      <w:r>
        <w:rPr/>
        <w:t xml:space="preserve"> (case management), </w:t>
      </w:r>
      <w:hyperlink r:id="rId38">
        <w:r>
          <w:rPr>
            <w:rStyle w:val="Hyperlink"/>
          </w:rPr>
          <w:t>Amdocs</w:t>
        </w:r>
      </w:hyperlink>
      <w:r>
        <w:rPr/>
        <w:t xml:space="preserve"> (payment system), </w:t>
      </w:r>
      <w:hyperlink r:id="rId39">
        <w:r>
          <w:rPr>
            <w:rStyle w:val="Hyperlink"/>
          </w:rPr>
          <w:t>DLVR.com</w:t>
        </w:r>
      </w:hyperlink>
      <w:r>
        <w:rPr/>
        <w:t xml:space="preserve"> (video analytics), Verizon (ring tone sales), </w:t>
      </w:r>
      <w:hyperlink r:id="rId40">
        <w:r>
          <w:rPr>
            <w:rStyle w:val="Hyperlink"/>
          </w:rPr>
          <w:t>Staples</w:t>
        </w:r>
      </w:hyperlink>
      <w:r>
        <w:rPr/>
        <w:t xml:space="preserve"> (e-commerce). </w:t>
      </w:r>
    </w:p>
    <w:p>
      <w:pPr>
        <w:pStyle w:val="Heading4"/>
        <w:bidi w:val="0"/>
        <w:jc w:val="left"/>
        <w:rPr/>
      </w:pPr>
      <w:r>
        <w:rPr>
          <w:b/>
        </w:rPr>
        <w:t>DEFCON</w:t>
      </w:r>
    </w:p>
    <w:p>
      <w:pPr>
        <w:pStyle w:val="Normal"/>
        <w:bidi w:val="0"/>
        <w:jc w:val="left"/>
        <w:rPr/>
      </w:pPr>
      <w:hyperlink r:id="rId41">
        <w:r>
          <w:rPr>
            <w:rStyle w:val="Hyperlink"/>
          </w:rPr>
          <w:t xml:space="preserve">Three DEFCON convention presentations in 2005-2007 </w:t>
        </w:r>
      </w:hyperlink>
      <w:r>
        <w:rPr/>
        <w:t>on predictive analytics and memetic manipulations.</w:t>
      </w:r>
    </w:p>
    <w:p>
      <w:pPr>
        <w:pStyle w:val="Heading3"/>
        <w:bidi w:val="0"/>
        <w:jc w:val="left"/>
        <w:rPr/>
      </w:pPr>
      <w:r>
        <w:rPr>
          <w:b/>
        </w:rPr>
        <w:t>Related Materal By Me</w:t>
      </w:r>
    </w:p>
    <w:p>
      <w:pPr>
        <w:pStyle w:val="ListParagraph"/>
        <w:numPr>
          <w:ilvl w:val="0"/>
          <w:numId w:val="0"/>
        </w:numPr>
        <w:ind w:hanging="0" w:left="420"/>
        <w:jc w:val="left"/>
        <w:rPr/>
      </w:pPr>
      <w:hyperlink r:id="rId42">
        <w:r>
          <w:rPr>
            <w:rStyle w:val="Hyperlink"/>
          </w:rPr>
          <w:t>Cost Of Information 2024</w:t>
        </w:r>
      </w:hyperlink>
      <w:r>
        <w:rPr/>
        <w:t xml:space="preserve"> </w:t>
      </w:r>
    </w:p>
    <w:p>
      <w:pPr>
        <w:pStyle w:val="ListParagraph"/>
        <w:numPr>
          <w:ilvl w:val="0"/>
          <w:numId w:val="0"/>
        </w:numPr>
        <w:ind w:hanging="0" w:left="420"/>
        <w:jc w:val="left"/>
        <w:rPr/>
      </w:pPr>
      <w:hyperlink r:id="rId43">
        <w:r>
          <w:rPr>
            <w:rStyle w:val="Hyperlink"/>
          </w:rPr>
          <w:t>BRICS Currency System 2023</w:t>
        </w:r>
      </w:hyperlink>
      <w:r>
        <w:rPr/>
        <w:t xml:space="preserve"> </w:t>
      </w:r>
    </w:p>
    <w:p>
      <w:pPr>
        <w:pStyle w:val="ListParagraph"/>
        <w:numPr>
          <w:ilvl w:val="0"/>
          <w:numId w:val="0"/>
        </w:numPr>
        <w:ind w:hanging="0" w:left="420"/>
        <w:jc w:val="left"/>
        <w:rPr/>
      </w:pPr>
      <w:hyperlink r:id="rId44">
        <w:r>
          <w:rPr>
            <w:rStyle w:val="Hyperlink"/>
          </w:rPr>
          <w:t>AWS App Design, 2023</w:t>
        </w:r>
      </w:hyperlink>
      <w:r>
        <w:rPr/>
        <w:t xml:space="preserve"> </w:t>
      </w:r>
    </w:p>
    <w:p>
      <w:pPr>
        <w:pStyle w:val="ListParagraph"/>
        <w:numPr>
          <w:ilvl w:val="0"/>
          <w:numId w:val="0"/>
        </w:numPr>
        <w:ind w:hanging="0" w:left="420"/>
        <w:jc w:val="left"/>
        <w:rPr/>
      </w:pPr>
      <w:hyperlink r:id="rId45">
        <w:r>
          <w:rPr>
            <w:rStyle w:val="Hyperlink"/>
          </w:rPr>
          <w:t>Stablecoin Hack, 2022</w:t>
        </w:r>
      </w:hyperlink>
      <w:r>
        <w:rPr/>
        <w:t xml:space="preserve"> </w:t>
      </w:r>
    </w:p>
    <w:p>
      <w:pPr>
        <w:pStyle w:val="ListParagraph"/>
        <w:numPr>
          <w:ilvl w:val="0"/>
          <w:numId w:val="0"/>
        </w:numPr>
        <w:ind w:hanging="0" w:left="420"/>
        <w:jc w:val="left"/>
        <w:rPr/>
      </w:pPr>
      <w:hyperlink r:id="rId46">
        <w:r>
          <w:rPr>
            <w:rStyle w:val="Hyperlink"/>
          </w:rPr>
          <w:t>Miner Bankruptcy, 2022</w:t>
        </w:r>
      </w:hyperlink>
      <w:r>
        <w:rPr/>
        <w:t xml:space="preserve"> </w:t>
      </w:r>
    </w:p>
    <w:p>
      <w:pPr>
        <w:pStyle w:val="ListParagraph"/>
        <w:numPr>
          <w:ilvl w:val="0"/>
          <w:numId w:val="0"/>
        </w:numPr>
        <w:ind w:hanging="0" w:left="420"/>
        <w:jc w:val="left"/>
        <w:rPr/>
      </w:pPr>
      <w:hyperlink r:id="rId47">
        <w:r>
          <w:rPr>
            <w:rStyle w:val="Hyperlink"/>
          </w:rPr>
          <w:t>Polymorphic API, 2022</w:t>
        </w:r>
      </w:hyperlink>
      <w:r>
        <w:rPr/>
        <w:t xml:space="preserve"> </w:t>
      </w:r>
    </w:p>
    <w:p>
      <w:pPr>
        <w:pStyle w:val="ListParagraph"/>
        <w:numPr>
          <w:ilvl w:val="0"/>
          <w:numId w:val="0"/>
        </w:numPr>
        <w:ind w:hanging="0" w:left="420"/>
        <w:jc w:val="left"/>
        <w:rPr/>
      </w:pPr>
      <w:hyperlink r:id="rId48">
        <w:r>
          <w:rPr>
            <w:rStyle w:val="Hyperlink"/>
          </w:rPr>
          <w:t>Crypto Platform, 2020</w:t>
        </w:r>
      </w:hyperlink>
      <w:r>
        <w:rPr/>
        <w:t xml:space="preserve"> </w:t>
      </w:r>
    </w:p>
    <w:p>
      <w:pPr>
        <w:pStyle w:val="ListParagraph"/>
        <w:numPr>
          <w:ilvl w:val="0"/>
          <w:numId w:val="0"/>
        </w:numPr>
        <w:ind w:hanging="0" w:left="420"/>
        <w:jc w:val="left"/>
        <w:rPr/>
      </w:pPr>
      <w:hyperlink r:id="rId49">
        <w:r>
          <w:rPr>
            <w:rStyle w:val="Hyperlink"/>
          </w:rPr>
          <w:t>Payment System, 2015</w:t>
        </w:r>
      </w:hyperlink>
      <w:r>
        <w:rPr/>
        <w:t xml:space="preserve"> </w:t>
      </w:r>
    </w:p>
    <w:p>
      <w:pPr>
        <w:pStyle w:val="ListParagraph"/>
        <w:numPr>
          <w:ilvl w:val="0"/>
          <w:numId w:val="0"/>
        </w:numPr>
        <w:ind w:hanging="0" w:left="420"/>
        <w:jc w:val="left"/>
        <w:rPr/>
      </w:pPr>
      <w:hyperlink r:id="rId50">
        <w:r>
          <w:rPr>
            <w:rStyle w:val="Hyperlink"/>
          </w:rPr>
          <w:t>Bitcoin Scalability, 2015</w:t>
        </w:r>
      </w:hyperlink>
      <w:r>
        <w:rPr/>
        <w:t xml:space="preserve"> </w:t>
      </w:r>
    </w:p>
    <w:p>
      <w:pPr>
        <w:pStyle w:val="ListParagraph"/>
        <w:numPr>
          <w:ilvl w:val="0"/>
          <w:numId w:val="0"/>
        </w:numPr>
        <w:ind w:hanging="0" w:left="420"/>
        <w:jc w:val="left"/>
        <w:rPr/>
      </w:pPr>
      <w:hyperlink r:id="rId51">
        <w:r>
          <w:rPr>
            <w:rStyle w:val="Hyperlink"/>
          </w:rPr>
          <w:t xml:space="preserve">Digital Money Trust, 2015 </w:t>
        </w:r>
      </w:hyperlink>
    </w:p>
    <w:p>
      <w:pPr>
        <w:pStyle w:val="ListParagraph"/>
        <w:numPr>
          <w:ilvl w:val="0"/>
          <w:numId w:val="0"/>
        </w:numPr>
        <w:ind w:hanging="0" w:left="420"/>
        <w:jc w:val="left"/>
        <w:rPr/>
      </w:pPr>
      <w:hyperlink r:id="rId52">
        <w:r>
          <w:rPr>
            <w:rStyle w:val="Hyperlink"/>
          </w:rPr>
          <w:t>Jing Currency on IoT, 2014</w:t>
        </w:r>
      </w:hyperlink>
      <w:r>
        <w:rPr/>
        <w:t xml:space="preserve"> </w:t>
      </w:r>
    </w:p>
    <w:p>
      <w:pPr>
        <w:pStyle w:val="ListParagraph"/>
        <w:numPr>
          <w:ilvl w:val="0"/>
          <w:numId w:val="0"/>
        </w:numPr>
        <w:ind w:hanging="0" w:left="420"/>
        <w:jc w:val="left"/>
        <w:rPr/>
      </w:pPr>
      <w:hyperlink r:id="rId53">
        <w:r>
          <w:rPr>
            <w:rStyle w:val="Hyperlink"/>
          </w:rPr>
          <w:t>Aetna Migration, 2011</w:t>
        </w:r>
      </w:hyperlink>
      <w:r>
        <w:rPr/>
        <w:t xml:space="preserve"> </w:t>
      </w:r>
    </w:p>
    <w:p>
      <w:pPr>
        <w:pStyle w:val="ListParagraph"/>
        <w:numPr>
          <w:ilvl w:val="0"/>
          <w:numId w:val="0"/>
        </w:numPr>
        <w:ind w:hanging="0" w:left="420"/>
        <w:jc w:val="left"/>
        <w:rPr/>
      </w:pPr>
      <w:hyperlink r:id="rId54">
        <w:r>
          <w:rPr>
            <w:rStyle w:val="Hyperlink"/>
          </w:rPr>
          <w:t>Avnet E-commerce, 2000</w:t>
        </w:r>
      </w:hyperlink>
      <w:r>
        <w:rPr/>
        <w:t xml:space="preserve"> </w:t>
      </w:r>
    </w:p>
    <w:p>
      <w:pPr>
        <w:pStyle w:val="ListParagraph"/>
        <w:numPr>
          <w:ilvl w:val="0"/>
          <w:numId w:val="0"/>
        </w:numPr>
        <w:ind w:hanging="0" w:left="420"/>
        <w:jc w:val="left"/>
        <w:rPr/>
      </w:pPr>
      <w:hyperlink r:id="rId55">
        <w:r>
          <w:rPr>
            <w:rStyle w:val="Hyperlink"/>
          </w:rPr>
          <w:t>Multi-Tenant Systems, 1996-2018</w:t>
        </w:r>
      </w:hyperlink>
      <w:r>
        <w:rPr/>
        <w:t xml:space="preserve"> </w:t>
      </w:r>
    </w:p>
    <w:p>
      <w:pPr>
        <w:pStyle w:val="ListParagraph"/>
        <w:numPr>
          <w:ilvl w:val="0"/>
          <w:numId w:val="0"/>
        </w:numPr>
        <w:ind w:hanging="0" w:left="420"/>
        <w:jc w:val="left"/>
        <w:rPr/>
      </w:pPr>
      <w:hyperlink r:id="rId56">
        <w:r>
          <w:rPr>
            <w:rStyle w:val="Hyperlink"/>
          </w:rPr>
          <w:t>Federal Highway System, 1992-1996</w:t>
        </w:r>
      </w:hyperlink>
      <w:r>
        <w:rPr/>
        <w:t xml:space="preserve"> </w:t>
      </w:r>
    </w:p>
    <w:p>
      <w:pPr>
        <w:pStyle w:val="ListParagraph"/>
        <w:numPr>
          <w:ilvl w:val="0"/>
          <w:numId w:val="0"/>
        </w:numPr>
        <w:ind w:hanging="0" w:left="420"/>
        <w:jc w:val="left"/>
        <w:rPr/>
      </w:pPr>
      <w:hyperlink r:id="rId57">
        <w:r>
          <w:rPr>
            <w:rStyle w:val="Hyperlink"/>
          </w:rPr>
          <w:t>Hacking the Planet, 1988</w:t>
        </w:r>
      </w:hyperlink>
      <w:r>
        <w:rPr/>
        <w:t xml:space="preserve"> </w:t>
      </w:r>
    </w:p>
    <w:sectPr>
      <w:type w:val="nextPage"/>
      <w:pgSz w:w="12240" w:h="15840"/>
      <w:pgMar w:left="691" w:right="691" w:gutter="0" w:header="0" w:top="461" w:footer="0" w:bottom="461"/>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Times New Roman">
    <w:charset w:val="01"/>
    <w:family w:val="roman"/>
    <w:pitch w:val="default"/>
  </w:font>
  <w:font w:name="Times new roman">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75"/>
        </w:tabs>
        <w:ind w:left="375" w:hanging="283"/>
      </w:pPr>
      <w:rPr>
        <w:rFonts w:ascii="Symbol" w:hAnsi="Symbol" w:cs="Symbol" w:hint="default"/>
        <w:color w:val="000000"/>
      </w:rPr>
    </w:lvl>
    <w:lvl w:ilvl="1">
      <w:start w:val="1"/>
      <w:numFmt w:val="bullet"/>
      <w:lvlText w:val=""/>
      <w:lvlJc w:val="left"/>
      <w:pPr>
        <w:tabs>
          <w:tab w:val="num" w:pos="1418"/>
        </w:tabs>
        <w:ind w:left="1418" w:hanging="283"/>
      </w:pPr>
      <w:rPr>
        <w:rFonts w:ascii="Symbol" w:hAnsi="Symbol" w:cs="Symbol" w:hint="default"/>
        <w:color w:val="000000"/>
      </w:rPr>
    </w:lvl>
    <w:lvl w:ilvl="2">
      <w:start w:val="1"/>
      <w:numFmt w:val="bullet"/>
      <w:lvlText w:val=""/>
      <w:lvlJc w:val="left"/>
      <w:pPr>
        <w:tabs>
          <w:tab w:val="num" w:pos="2127"/>
        </w:tabs>
        <w:ind w:left="2127" w:hanging="283"/>
      </w:pPr>
      <w:rPr>
        <w:rFonts w:ascii="Symbol" w:hAnsi="Symbol" w:cs="Symbol" w:hint="default"/>
        <w:color w:val="000000"/>
      </w:rPr>
    </w:lvl>
    <w:lvl w:ilvl="3">
      <w:start w:val="1"/>
      <w:numFmt w:val="bullet"/>
      <w:lvlText w:val=""/>
      <w:lvlJc w:val="left"/>
      <w:pPr>
        <w:tabs>
          <w:tab w:val="num" w:pos="2836"/>
        </w:tabs>
        <w:ind w:left="2836" w:hanging="283"/>
      </w:pPr>
      <w:rPr>
        <w:rFonts w:ascii="Symbol" w:hAnsi="Symbol" w:cs="Symbol" w:hint="default"/>
        <w:color w:val="000000"/>
      </w:rPr>
    </w:lvl>
    <w:lvl w:ilvl="4">
      <w:start w:val="1"/>
      <w:numFmt w:val="bullet"/>
      <w:lvlText w:val=""/>
      <w:lvlJc w:val="left"/>
      <w:pPr>
        <w:tabs>
          <w:tab w:val="num" w:pos="3545"/>
        </w:tabs>
        <w:ind w:left="3545" w:hanging="283"/>
      </w:pPr>
      <w:rPr>
        <w:rFonts w:ascii="Symbol" w:hAnsi="Symbol" w:cs="Symbol" w:hint="default"/>
        <w:color w:val="000000"/>
      </w:rPr>
    </w:lvl>
    <w:lvl w:ilvl="5">
      <w:start w:val="1"/>
      <w:numFmt w:val="bullet"/>
      <w:lvlText w:val=""/>
      <w:lvlJc w:val="left"/>
      <w:pPr>
        <w:tabs>
          <w:tab w:val="num" w:pos="4254"/>
        </w:tabs>
        <w:ind w:left="4254" w:hanging="283"/>
      </w:pPr>
      <w:rPr>
        <w:rFonts w:ascii="Symbol" w:hAnsi="Symbol" w:cs="Symbol" w:hint="default"/>
        <w:color w:val="000000"/>
      </w:rPr>
    </w:lvl>
    <w:lvl w:ilvl="6">
      <w:start w:val="1"/>
      <w:numFmt w:val="bullet"/>
      <w:lvlText w:val=""/>
      <w:lvlJc w:val="left"/>
      <w:pPr>
        <w:tabs>
          <w:tab w:val="num" w:pos="4963"/>
        </w:tabs>
        <w:ind w:left="4963" w:hanging="283"/>
      </w:pPr>
      <w:rPr>
        <w:rFonts w:ascii="Symbol" w:hAnsi="Symbol" w:cs="Symbol" w:hint="default"/>
        <w:color w:val="000000"/>
      </w:rPr>
    </w:lvl>
    <w:lvl w:ilvl="7">
      <w:start w:val="1"/>
      <w:numFmt w:val="bullet"/>
      <w:lvlText w:val=""/>
      <w:lvlJc w:val="left"/>
      <w:pPr>
        <w:tabs>
          <w:tab w:val="num" w:pos="5672"/>
        </w:tabs>
        <w:ind w:left="5672" w:hanging="283"/>
      </w:pPr>
      <w:rPr>
        <w:rFonts w:ascii="Symbol" w:hAnsi="Symbol" w:cs="Symbol" w:hint="default"/>
        <w:color w:val="000000"/>
      </w:rPr>
    </w:lvl>
    <w:lvl w:ilvl="8">
      <w:start w:val="1"/>
      <w:numFmt w:val="bullet"/>
      <w:lvlText w:val=""/>
      <w:lvlJc w:val="left"/>
      <w:pPr>
        <w:tabs>
          <w:tab w:val="num" w:pos="6381"/>
        </w:tabs>
        <w:ind w:left="6381" w:hanging="283"/>
      </w:pPr>
      <w:rPr>
        <w:rFonts w:ascii="Symbol" w:hAnsi="Symbol" w:cs="Symbol"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color w:val="000000"/>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token/" TargetMode="External"/><Relationship Id="rId4" Type="http://schemas.openxmlformats.org/officeDocument/2006/relationships/hyperlink" Target="https://broward.ghost.io/current-gold-paper" TargetMode="External"/><Relationship Id="rId5" Type="http://schemas.openxmlformats.org/officeDocument/2006/relationships/hyperlink" Target="https://legiscan.com/TX/bill/HB1056/2025" TargetMode="External"/><Relationship Id="rId6" Type="http://schemas.openxmlformats.org/officeDocument/2006/relationships/hyperlink" Target="https://legiscan.com/TX/bill/HB1049/2025" TargetMode="External"/><Relationship Id="rId7" Type="http://schemas.openxmlformats.org/officeDocument/2006/relationships/hyperlink" Target="https://broward.ghost.io/2014/03/09/about/" TargetMode="External"/><Relationship Id="rId8" Type="http://schemas.openxmlformats.org/officeDocument/2006/relationships/hyperlink" Target="https://github.com/broward/token" TargetMode="External"/><Relationship Id="rId9" Type="http://schemas.openxmlformats.org/officeDocument/2006/relationships/hyperlink" Target="https://github.com/broward/token"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hyperlink" Target="https://fred.stlouisfed.org/series/A091RC1Q027SBEA" TargetMode="External"/><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hyperlink" Target="https://github.com/broward/token" TargetMode="External"/><Relationship Id="rId19" Type="http://schemas.openxmlformats.org/officeDocument/2006/relationships/hyperlink" Target="https://github.com/broward/token" TargetMode="Externa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s://broward.ghost.io/2014/01/09/defcon/" TargetMode="External"/><Relationship Id="rId23" Type="http://schemas.openxmlformats.org/officeDocument/2006/relationships/hyperlink" Target="https://www.ugpti.org/research/details.php?id=93&amp;ref=broward.ghost.io" TargetMode="External"/><Relationship Id="rId24" Type="http://schemas.openxmlformats.org/officeDocument/2006/relationships/hyperlink" Target="https://broward.ghost.io/content/images/2022/01/nampa_article-1.jpg" TargetMode="External"/><Relationship Id="rId25" Type="http://schemas.openxmlformats.org/officeDocument/2006/relationships/hyperlink" Target="https://broward.ghost.io/2014/05/19/early-mobile-system/" TargetMode="External"/><Relationship Id="rId26" Type="http://schemas.openxmlformats.org/officeDocument/2006/relationships/hyperlink" Target="https://broward.ghost.io/2021/03/01/saleslogix/" TargetMode="External"/><Relationship Id="rId27" Type="http://schemas.openxmlformats.org/officeDocument/2006/relationships/hyperlink" Target="https://broward.ghost.io/2023/11/14/sunhill-software/" TargetMode="External"/><Relationship Id="rId28" Type="http://schemas.openxmlformats.org/officeDocument/2006/relationships/hyperlink" Target="https://broward.ghost.io/2014/05/20/node-postgres-and-highcharts-app/" TargetMode="External"/><Relationship Id="rId29" Type="http://schemas.openxmlformats.org/officeDocument/2006/relationships/hyperlink" Target="https://dlvr.com/how-it-works/video-multi-cdn-optimization/?ref=broward.ghost.io" TargetMode="External"/><Relationship Id="rId30" Type="http://schemas.openxmlformats.org/officeDocument/2006/relationships/hyperlink" Target="https://broward.ghost.io/2020/08/14/revision-2/" TargetMode="External"/><Relationship Id="rId31" Type="http://schemas.openxmlformats.org/officeDocument/2006/relationships/hyperlink" Target="https://broward.ghost.io/2023/04/02/sonoma/" TargetMode="External"/><Relationship Id="rId32" Type="http://schemas.openxmlformats.org/officeDocument/2006/relationships/hyperlink" Target="https://broward.ghost.io/2015/09/26/bitcoin-blockchains-and-banking-busts/" TargetMode="External"/><Relationship Id="rId33" Type="http://schemas.openxmlformats.org/officeDocument/2006/relationships/hyperlink" Target="https://broward.ghost.io/2021/03/01/digital-currency-on-iot/" TargetMode="External"/><Relationship Id="rId34" Type="http://schemas.openxmlformats.org/officeDocument/2006/relationships/hyperlink" Target="https://docs.silamoney.com/docs?ref=broward.ghost.io" TargetMode="External"/><Relationship Id="rId35" Type="http://schemas.openxmlformats.org/officeDocument/2006/relationships/hyperlink" Target="https://broward.ghost.io/2022/11/18/boeing-revisited/" TargetMode="External"/><Relationship Id="rId36" Type="http://schemas.openxmlformats.org/officeDocument/2006/relationships/hyperlink" Target="https://broward.ghost.io/2021/02/28/e-commerce-systems/" TargetMode="External"/><Relationship Id="rId37" Type="http://schemas.openxmlformats.org/officeDocument/2006/relationships/hyperlink" Target="https://broward.ghost.io/aetna)" TargetMode="External"/><Relationship Id="rId38" Type="http://schemas.openxmlformats.org/officeDocument/2006/relationships/hyperlink" Target="https://broward.ghost.io/2015/05/17/simple-kafka-monitor-using-opendmk-jmx-2-0/" TargetMode="External"/><Relationship Id="rId39" Type="http://schemas.openxmlformats.org/officeDocument/2006/relationships/hyperlink" Target="https://raw.githubusercontent.com/broward/images/master/Architecture/CrossSignFlow.jpg?ref=broward.ghost.io" TargetMode="External"/><Relationship Id="rId40" Type="http://schemas.openxmlformats.org/officeDocument/2006/relationships/hyperlink" Target="https://broward.ghost.io/2023/01/13/skittles-autopsy/" TargetMode="External"/><Relationship Id="rId41" Type="http://schemas.openxmlformats.org/officeDocument/2006/relationships/hyperlink" Target="https://broward.ghost.io/2014/01/09/defcon/" TargetMode="External"/><Relationship Id="rId42" Type="http://schemas.openxmlformats.org/officeDocument/2006/relationships/hyperlink" Target="https://broward.ghost.io/2024/05/19/cost-of-information/" TargetMode="External"/><Relationship Id="rId43" Type="http://schemas.openxmlformats.org/officeDocument/2006/relationships/hyperlink" Target="https://broward.ghost.io/BRICS" TargetMode="External"/><Relationship Id="rId44" Type="http://schemas.openxmlformats.org/officeDocument/2006/relationships/hyperlink" Target="https://broward.ghost.io/aws_app_1" TargetMode="External"/><Relationship Id="rId45" Type="http://schemas.openxmlformats.org/officeDocument/2006/relationships/hyperlink" Target="https://broward.ghost.io/stablecoin_hack" TargetMode="External"/><Relationship Id="rId46" Type="http://schemas.openxmlformats.org/officeDocument/2006/relationships/hyperlink" Target="https://broward.ghost.io/miner_bankruptcy" TargetMode="External"/><Relationship Id="rId47" Type="http://schemas.openxmlformats.org/officeDocument/2006/relationships/hyperlink" Target="https://broward.ghost.io/polymorphic_api/" TargetMode="External"/><Relationship Id="rId48" Type="http://schemas.openxmlformats.org/officeDocument/2006/relationships/hyperlink" Target="https://broward.ghost.io/crypto_platform" TargetMode="External"/><Relationship Id="rId49" Type="http://schemas.openxmlformats.org/officeDocument/2006/relationships/hyperlink" Target="https://broward.ghost.io/payment_system" TargetMode="External"/><Relationship Id="rId50" Type="http://schemas.openxmlformats.org/officeDocument/2006/relationships/hyperlink" Target="https://broward.ghost.io/bitcoin_scalability" TargetMode="External"/><Relationship Id="rId51" Type="http://schemas.openxmlformats.org/officeDocument/2006/relationships/hyperlink" Target="https://broward.ghost.io/digital_money_trust" TargetMode="External"/><Relationship Id="rId52" Type="http://schemas.openxmlformats.org/officeDocument/2006/relationships/hyperlink" Target="https://broward.ghost.io/digital_on_IoT" TargetMode="External"/><Relationship Id="rId53" Type="http://schemas.openxmlformats.org/officeDocument/2006/relationships/hyperlink" Target="https://broward.ghost.io/aetna" TargetMode="External"/><Relationship Id="rId54" Type="http://schemas.openxmlformats.org/officeDocument/2006/relationships/hyperlink" Target="https://broward.ghost.io/avnet" TargetMode="External"/><Relationship Id="rId55" Type="http://schemas.openxmlformats.org/officeDocument/2006/relationships/hyperlink" Target="https://broward.ghost.io/multi-tenant" TargetMode="External"/><Relationship Id="rId56" Type="http://schemas.openxmlformats.org/officeDocument/2006/relationships/hyperlink" Target="https://broward.ghost.io/FHWA/" TargetMode="External"/><Relationship Id="rId57" Type="http://schemas.openxmlformats.org/officeDocument/2006/relationships/hyperlink" Target="https://broward.ghost.io/hack_the_planet" TargetMode="Externa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3954</TotalTime>
  <Application>LibreOffice/24.8.6.2$Linux_X86_64 LibreOffice_project/d50be90c1d90f0f90a5235ffcbbafbbfa38a83c2</Application>
  <AppVersion>15.0000</AppVersion>
  <Pages>6</Pages>
  <Words>1052</Words>
  <Characters>5841</Characters>
  <CharactersWithSpaces>6855</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2025-05-02T20:32:56Z</cp:lastPrinted>
  <dcterms:modified xsi:type="dcterms:W3CDTF">2025-05-02T20:35:15Z</dcterms:modified>
  <cp:revision>418</cp:revision>
  <dc:subject/>
  <dc:title/>
</cp:coreProperties>
</file>

<file path=docProps/custom.xml><?xml version="1.0" encoding="utf-8"?>
<Properties xmlns="http://schemas.openxmlformats.org/officeDocument/2006/custom-properties" xmlns:vt="http://schemas.openxmlformats.org/officeDocument/2006/docPropsVTypes"/>
</file>