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drawing>
          <wp:anchor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310" cy="10692130"/>
            <wp:wrapNone/>
            <wp:docPr id="1" name="Original course PDF page 1 blank cover" descr="Original PDF first page; all original form fields remain blank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course-report-cov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06921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footerReference w:type="default" r:id="rId9"/>
          <w:pgSz w:w="11906" w:h="16838"/>
          <w:pgMar w:top="1276" w:right="1361" w:bottom="1247" w:left="1361" w:header="720" w:footer="720" w:gutter="0"/>
          <w:cols w:space="720"/>
          <w:titlePg/>
          <w:docGrid w:linePitch="360"/>
        </w:sectPr>
      </w:pPr>
    </w:p>
    <w:p>
      <w:pPr>
        <w:pStyle w:val="Heading1"/>
      </w:pPr>
      <w:r>
        <w:t>1 设计题目</w:t>
      </w:r>
    </w:p>
    <w:p>
      <w:pPr>
        <w:widowControl/>
      </w:pPr>
      <w:r>
        <w:t>本课设选择题目1双异步 FIFO 系统，在两个独立通道上实现跨时钟域缓冲、空满保护、阈值预警、读侧背压、错误统计及统一监控。每路存储容量为256×32 bit，RTL 使用 Verilog 描述，验证使用 SystemVerilog 和 C++。</w:t>
      </w:r>
    </w:p>
    <w:p>
      <w:pPr>
        <w:widowControl/>
      </w:pPr>
      <w:r>
        <w:t>实验以软件设计、仿真、综合和实现分析为范围。任务书总体要求和题目1未要求实物上板。PH1A100SFG676是根据本机可用工具选择的软件评估目标，并非任务书指定器件。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68"/>
        <w:gridCol w:w="6917"/>
      </w:tblGrid>
      <w:tr>
        <w:trPr>
          <w:cantSplit/>
          <w:tblHeader/>
        </w:trPr>
        <w:tc>
          <w:tcPr>
            <w:tcW w:type="dxa" w:w="2268"/>
            <w:vAlign w:val="center"/>
            <w:shd w:fill="E8EDF2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</w:pPr>
            <w:r>
              <w:rPr>
                <w:b/>
                <w:sz w:val="20"/>
              </w:rPr>
              <w:t>项目</w:t>
            </w:r>
          </w:p>
        </w:tc>
        <w:tc>
          <w:tcPr>
            <w:tcW w:type="dxa" w:w="6917"/>
            <w:vAlign w:val="center"/>
            <w:shd w:fill="E8EDF2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</w:pPr>
            <w:r>
              <w:rPr>
                <w:b/>
                <w:sz w:val="20"/>
              </w:rPr>
              <w:t>规格或实验约定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FIFO 数量与规模</w:t>
            </w:r>
          </w:p>
        </w:tc>
        <w:tc>
          <w:tcPr>
            <w:tcW w:type="dxa" w:w="691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2路，每路256项，每项32 bit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A 路读写频率比</w:t>
            </w:r>
          </w:p>
        </w:tc>
        <w:tc>
          <w:tcPr>
            <w:tcW w:type="dxa" w:w="691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5:3，参考周期为写20 ns、读12 ns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B 路读写频率比</w:t>
            </w:r>
          </w:p>
        </w:tc>
        <w:tc>
          <w:tcPr>
            <w:tcW w:type="dxa" w:w="691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7:2，参考周期为写35 ns、读10 ns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监控时钟</w:t>
            </w:r>
          </w:p>
        </w:tc>
        <w:tc>
          <w:tcPr>
            <w:tcW w:type="dxa" w:w="691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参考周期10 ns，独立于四个数据时钟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阈值默认值</w:t>
            </w:r>
          </w:p>
        </w:tc>
        <w:tc>
          <w:tcPr>
            <w:tcW w:type="dxa" w:w="691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almost_full=224，almost_empty=32，可配置回差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同步与复位</w:t>
            </w:r>
          </w:p>
        </w:tc>
        <w:tc>
          <w:tcPr>
            <w:tcW w:type="dxa" w:w="691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Gray 同步级数2或3；共同异步复位，各域两级同步释放</w:t>
            </w:r>
          </w:p>
        </w:tc>
      </w:tr>
    </w:tbl>
    <w:p>
      <w:pPr>
        <w:spacing w:after="20"/>
      </w:pPr>
    </w:p>
    <w:p>
      <w:pPr>
        <w:pStyle w:val="Heading1"/>
      </w:pPr>
      <w:r>
        <w:t>2 设计目的</w:t>
      </w:r>
    </w:p>
    <w:p>
      <w:pPr>
        <w:widowControl/>
      </w:pPr>
      <w:r>
        <w:t>设计目的包括理解二进制与格雷码指针的配合、建立可复现的数据完整性检查，并通过两级和三级同步器的对比分析延迟、资源与可靠性的取舍。时钟比例按题目设置，绝对频率作为实验条件明确记录。</w:t>
      </w:r>
    </w:p>
    <w:p>
      <w:r>
        <w:br w:type="page"/>
      </w:r>
    </w:p>
    <w:p>
      <w:pPr>
        <w:pStyle w:val="Heading1"/>
      </w:pPr>
      <w:r>
        <w:t>3 设计内容</w:t>
      </w:r>
    </w:p>
    <w:p>
      <w:pPr>
        <w:pStyle w:val="Heading2"/>
      </w:pPr>
      <w:r>
        <w:t>3.1 模块结构与接口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293333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933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图1 双通道数据通路与监控 频率为 RTL 参考激励</w:t>
      </w:r>
    </w:p>
    <w:p>
      <w:pPr>
        <w:widowControl/>
      </w:pPr>
      <w:r>
        <w:t>顶层 dual_async_fifo 实例化 fifo_a、fifo_b 与 fifo_monitor。两路复用同一参数化 async_fifo 代码，但各自拥有独立 RAM、读写指针、状态和统计。监控从四个源域获取保持的快照，业务读写不等待监控。</w:t>
      </w:r>
    </w:p>
    <w:p>
      <w:pPr>
        <w:widowControl/>
      </w:pPr>
      <w:r>
        <w:t>默认端口宽度和所属时钟域见3.6节；完整参数及逐字段定义另见docs/INTERFACE.md和docs/MONITOR_PROTOCOL.md。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68"/>
        <w:gridCol w:w="6917"/>
      </w:tblGrid>
      <w:tr>
        <w:trPr>
          <w:cantSplit/>
          <w:tblHeader/>
        </w:trPr>
        <w:tc>
          <w:tcPr>
            <w:tcW w:type="dxa" w:w="2268"/>
            <w:vAlign w:val="center"/>
            <w:shd w:fill="E8EDF2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</w:pPr>
            <w:r>
              <w:rPr>
                <w:b/>
                <w:sz w:val="20"/>
              </w:rPr>
              <w:t>模块</w:t>
            </w:r>
          </w:p>
        </w:tc>
        <w:tc>
          <w:tcPr>
            <w:tcW w:type="dxa" w:w="6917"/>
            <w:vAlign w:val="center"/>
            <w:shd w:fill="E8EDF2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</w:pPr>
            <w:r>
              <w:rPr>
                <w:b/>
                <w:sz w:val="20"/>
              </w:rPr>
              <w:t>主要职责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reset_sync</w:t>
            </w:r>
          </w:p>
        </w:tc>
        <w:tc>
          <w:tcPr>
            <w:tcW w:type="dxa" w:w="691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共同复位的异步断言与本地域同步释放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gray_sync</w:t>
            </w:r>
          </w:p>
        </w:tc>
        <w:tc>
          <w:tcPr>
            <w:tcW w:type="dxa" w:w="691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参数化多级同步寄存器链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fifo_ram</w:t>
            </w:r>
          </w:p>
        </w:tc>
        <w:tc>
          <w:tcPr>
            <w:tcW w:type="dxa" w:w="691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行为描述的双时钟 RAM 与注册读输出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async_fifo</w:t>
            </w:r>
          </w:p>
        </w:tc>
        <w:tc>
          <w:tcPr>
            <w:tcW w:type="dxa" w:w="691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指针、保护、阈值、背压和六类计数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snapshot_mailbox</w:t>
            </w:r>
          </w:p>
        </w:tc>
        <w:tc>
          <w:tcPr>
            <w:tcW w:type="dxa" w:w="691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源域捕获与保持、请求确认同步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fifo_monitor</w:t>
            </w:r>
          </w:p>
        </w:tc>
        <w:tc>
          <w:tcPr>
            <w:tcW w:type="dxa" w:w="691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四域确认等待、保护窗口和统一发布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</w:pPr>
      <w:r>
        <w:t>3.2 时钟域 复位与设计假设</w:t>
      </w:r>
    </w:p>
    <w:p>
      <w:pPr>
        <w:widowControl/>
      </w:pPr>
      <w:r>
        <w:t>系统存在五个时钟域。A、B 通道的写域产生写指针，读域产生读指针；寄存的 Gray 指针通过对侧同步链进入目标域，再转换为二进制用于本地水位估计。不得直接逐位同步会同时改变多位的二进制指针。</w:t>
      </w:r>
    </w:p>
    <w:p>
      <w:pPr>
        <w:widowControl/>
      </w:pPr>
      <w:r>
        <w:t>共同 rst_n 断言时立即清空指针、输出有效及统计，各时钟域分别经过两级复位同步器释放。复位清空 FIFO 中尚未读出的数据，验证模型将其计入 reset_discarded。单侧独立复位不属于本接口协议，不能据共同复位测试推断其安全性。</w:t>
      </w:r>
    </w:p>
    <w:p>
      <w:pPr>
        <w:widowControl/>
      </w:pPr>
      <w:r>
        <w:t>接口采用请求式读响应：在读时钟上升沿，只有 rd_en、rd_ready 和非空同时满足，且本地域已退出复位，才接受一次读操作；RAM 输出在该边沿更新，rd_data_valid指示本拍是否接受。未接受时保持 rd_data，不要求 RAM 数组复位。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118"/>
        <w:gridCol w:w="6066"/>
      </w:tblGrid>
      <w:tr>
        <w:trPr>
          <w:cantSplit/>
          <w:tblHeader/>
        </w:trPr>
        <w:tc>
          <w:tcPr>
            <w:tcW w:type="dxa" w:w="3118"/>
            <w:vAlign w:val="center"/>
            <w:shd w:fill="E8EDF2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</w:pPr>
            <w:r>
              <w:rPr>
                <w:b/>
                <w:sz w:val="20"/>
              </w:rPr>
              <w:t>假设</w:t>
            </w:r>
          </w:p>
        </w:tc>
        <w:tc>
          <w:tcPr>
            <w:tcW w:type="dxa" w:w="6066"/>
            <w:vAlign w:val="center"/>
            <w:shd w:fill="E8EDF2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</w:pPr>
            <w:r>
              <w:rPr>
                <w:b/>
                <w:sz w:val="20"/>
              </w:rPr>
              <w:t>对实现及验证的影响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各时钟可有任意初始相位</w:t>
            </w:r>
          </w:p>
        </w:tc>
        <w:tc>
          <w:tcPr>
            <w:tcW w:type="dxa" w:w="606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测试包含多种相位；源指针使用寄存输出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各域同步释放后才发起有效请求</w:t>
            </w:r>
          </w:p>
        </w:tc>
        <w:tc>
          <w:tcPr>
            <w:tcW w:type="dxa" w:w="606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使用 wr_rst_done、rd_rst_done 对接受操作门控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监控需要所有源时钟推进</w:t>
            </w:r>
          </w:p>
        </w:tc>
        <w:tc>
          <w:tcPr>
            <w:tcW w:type="dxa" w:w="606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某源停钟时允许 busy 保持，恢复后继续完成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水位是本地域估计</w:t>
            </w:r>
          </w:p>
        </w:tc>
        <w:tc>
          <w:tcPr>
            <w:tcW w:type="dxa" w:w="606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远端指针同步滞后，估计不等同全局瞬时占用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源 Gray 每次最多前进一个码值</w:t>
            </w:r>
          </w:p>
        </w:tc>
        <w:tc>
          <w:tcPr>
            <w:tcW w:type="dxa" w:w="606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只对源指针检查一位变化，不对同步后跳码作同一限制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快照来自同一请求的不同捕获时刻</w:t>
            </w:r>
          </w:p>
        </w:tc>
        <w:tc>
          <w:tcPr>
            <w:tcW w:type="dxa" w:w="606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不将四域快照表述为全局同一瞬间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</w:pPr>
      <w:r>
        <w:t>3.3 FIFO 指针与保护算法</w:t>
      </w:r>
    </w:p>
    <w:p>
      <w:pPr>
        <w:widowControl/>
      </w:pPr>
      <w:r>
        <w:t>深度256需要8位 RAM 地址和9位环形位置。二进制指针用于加法和寻址，最高位区分同一地址的不同绕回轮次；格雷码用于跨域。写侧根据本拍实际接受情况计算下一写指针，再注册 full；读侧对下一读指针作相同处理并注册 empty。</w:t>
      </w:r>
    </w:p>
    <w:p>
      <w:pPr>
        <w:jc w:val="center"/>
      </w:pPr>
      <m:oMath>
        <m:r>
          <m:t>gray = binary XOR (binary &gt;&gt; 1)</m:t>
        </m:r>
      </m:oMath>
    </w:p>
    <w:p>
      <w:pPr>
        <w:widowControl/>
      </w:pPr>
      <w:r>
        <w:t>空判断比较下一读 Gray 与已同步的写 Gray。满判断比较下一写 Gray 与已同步读 Gray 的最高两位翻转值。满时写使能被忽略，不写 RAM、不移动写指针，也不增加成功写计数；空时不弹出数据。</w:t>
      </w:r>
    </w:p>
    <w:p>
      <w:pPr>
        <w:spacing w:after="20" w:line="252" w:lineRule="auto"/>
      </w:pPr>
      <w:r>
        <w:rPr>
          <w:rFonts w:ascii="Consolas" w:hAnsi="Consolas"/>
          <w:sz w:val="19"/>
        </w:rPr>
        <w:t>wr_fire = wr_rst_done AND wr_en AND NOT full</w:t>
      </w:r>
    </w:p>
    <w:p>
      <w:pPr>
        <w:spacing w:after="20" w:line="252" w:lineRule="auto"/>
      </w:pPr>
      <w:r>
        <w:rPr>
          <w:rFonts w:ascii="Consolas" w:hAnsi="Consolas"/>
          <w:sz w:val="19"/>
        </w:rPr>
        <w:t>rd_fire = rd_rst_done AND rd_en AND rd_ready AND NOT empty</w:t>
      </w:r>
    </w:p>
    <w:p>
      <w:pPr>
        <w:spacing w:after="20" w:line="252" w:lineRule="auto"/>
      </w:pPr>
      <w:r>
        <w:rPr>
          <w:rFonts w:ascii="Consolas" w:hAnsi="Consolas"/>
          <w:sz w:val="19"/>
        </w:rPr>
        <w:t>wbin_next = wbin + wr_fire</w:t>
      </w:r>
    </w:p>
    <w:p>
      <w:pPr>
        <w:spacing w:after="20" w:line="252" w:lineRule="auto"/>
      </w:pPr>
      <w:r>
        <w:rPr>
          <w:rFonts w:ascii="Consolas" w:hAnsi="Consolas"/>
          <w:sz w:val="19"/>
        </w:rPr>
        <w:t>rbin_next = rbin + rd_fire</w:t>
      </w:r>
    </w:p>
    <w:p>
      <w:pPr>
        <w:spacing w:after="20" w:line="252" w:lineRule="auto"/>
      </w:pPr>
      <w:r>
        <w:rPr>
          <w:rFonts w:ascii="Consolas" w:hAnsi="Consolas"/>
          <w:sz w:val="19"/>
        </w:rPr>
        <w:t>wgray_next = wbin_next XOR (wbin_next &gt;&gt; 1)</w:t>
      </w:r>
    </w:p>
    <w:p>
      <w:pPr>
        <w:spacing w:after="20" w:line="252" w:lineRule="auto"/>
      </w:pPr>
      <w:r>
        <w:rPr>
          <w:rFonts w:ascii="Consolas" w:hAnsi="Consolas"/>
          <w:sz w:val="19"/>
        </w:rPr>
        <w:t>rgray_next = rbin_next XOR (rbin_next &gt;&gt; 1)</w:t>
      </w:r>
    </w:p>
    <w:p>
      <w:pPr>
        <w:spacing w:after="20" w:line="252" w:lineRule="auto"/>
      </w:pPr>
      <w:r>
        <w:rPr>
          <w:rFonts w:ascii="Consolas" w:hAnsi="Consolas"/>
          <w:sz w:val="19"/>
        </w:rPr>
        <w:t>full_next = (wgray_next == inverted_top_two_bits(rgray_sync))</w:t>
      </w:r>
    </w:p>
    <w:p>
      <w:pPr>
        <w:spacing w:after="20" w:line="252" w:lineRule="auto"/>
      </w:pPr>
      <w:r>
        <w:rPr>
          <w:rFonts w:ascii="Consolas" w:hAnsi="Consolas"/>
          <w:sz w:val="19"/>
        </w:rPr>
        <w:t>empty_next = (rgray_next == wgray_sync)</w:t>
      </w:r>
    </w:p>
    <w:p>
      <w:pPr>
        <w:spacing w:after="20" w:line="252" w:lineRule="auto"/>
      </w:pPr>
      <w:r>
        <w:rPr>
          <w:rFonts w:ascii="Consolas" w:hAnsi="Consolas"/>
          <w:sz w:val="19"/>
        </w:rPr>
        <w:t>if wr_fire: RAM[wbin.address] &lt;- wr_data</w:t>
      </w:r>
    </w:p>
    <w:p>
      <w:pPr>
        <w:spacing w:after="160" w:line="252" w:lineRule="auto"/>
      </w:pPr>
      <w:r>
        <w:rPr>
          <w:rFonts w:ascii="Consolas" w:hAnsi="Consolas"/>
          <w:sz w:val="19"/>
        </w:rPr>
        <w:t>if rd_fire: rd_data &lt;- RAM[rbin.address]</w:t>
      </w:r>
    </w:p>
    <w:p>
      <w:pPr>
        <w:widowControl/>
      </w:pPr>
      <w:r>
        <w:t>RAM 行为描述分别使用写时钟和读时钟，不调用设计 IP。目标综合工具将数组推断为两块独立 ERAM，属于 RTL 的存储映射；设计源码仍保持通用 Verilog。检查器维护独立二进制位置与参考队列，不复用 Gray 满比较表达式作为唯一判断依据。</w:t>
      </w:r>
    </w:p>
    <w:p>
      <w:r>
        <w:br w:type="page"/>
      </w:r>
    </w:p>
    <w:p>
      <w:pPr>
        <w:pStyle w:val="Heading2"/>
      </w:pPr>
      <w:r>
        <w:t>3.4 阈值 背压与统计</w:t>
      </w:r>
    </w:p>
    <w:p>
      <w:pPr>
        <w:widowControl/>
      </w:pPr>
      <w:r>
        <w:t>写域用下一写位置减去同步读位置，读域用同步写位置减去下一读位置，均以9位模运算得到本地水位。默认几乎满在水位达到224时置位，几乎空在水位降至32时置位；回差测试将撤销阈值分别设置为220和36，以验证阈值附近保持行为。</w:t>
      </w:r>
    </w:p>
    <w:p>
      <w:pPr>
        <w:widowControl/>
      </w:pPr>
      <w:r>
        <w:t>rd_ready=0时禁止弹出并保持读指针和读输出。背压事件定义为 rd_en有效、FIFO非空且ready为低的连续停顿段；每段开始计一次事件，每个停顿读周期另计一次周期。空时的有效读尝试归入下溢统计，不作为背压。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35"/>
        <w:gridCol w:w="6350"/>
      </w:tblGrid>
      <w:tr>
        <w:trPr>
          <w:cantSplit/>
          <w:tblHeader/>
        </w:trPr>
        <w:tc>
          <w:tcPr>
            <w:tcW w:type="dxa" w:w="2835"/>
            <w:vAlign w:val="center"/>
            <w:shd w:fill="E8EDF2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</w:pPr>
            <w:r>
              <w:rPr>
                <w:b/>
                <w:sz w:val="20"/>
              </w:rPr>
              <w:t>计数器</w:t>
            </w:r>
          </w:p>
        </w:tc>
        <w:tc>
          <w:tcPr>
            <w:tcW w:type="dxa" w:w="6350"/>
            <w:vAlign w:val="center"/>
            <w:shd w:fill="E8EDF2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</w:pPr>
            <w:r>
              <w:rPr>
                <w:b/>
                <w:sz w:val="20"/>
              </w:rPr>
              <w:t>增加条件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write_count</w:t>
            </w:r>
          </w:p>
        </w:tc>
        <w:tc>
          <w:tcPr>
            <w:tcW w:type="dxa" w:w="635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写请求被实际接受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read_count</w:t>
            </w:r>
          </w:p>
        </w:tc>
        <w:tc>
          <w:tcPr>
            <w:tcW w:type="dxa" w:w="635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读请求被实际接受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overflow_count</w:t>
            </w:r>
          </w:p>
        </w:tc>
        <w:tc>
          <w:tcPr>
            <w:tcW w:type="dxa" w:w="635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已退出写域复位，wr_en=1且full=1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underflow_count</w:t>
            </w:r>
          </w:p>
        </w:tc>
        <w:tc>
          <w:tcPr>
            <w:tcW w:type="dxa" w:w="635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已退出读域复位，rd_en=1、ready=1且empty=1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backpressure_count</w:t>
            </w:r>
          </w:p>
        </w:tc>
        <w:tc>
          <w:tcPr>
            <w:tcW w:type="dxa" w:w="635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停顿条件从不成立变为成立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backpressure_cycles</w:t>
            </w:r>
          </w:p>
        </w:tc>
        <w:tc>
          <w:tcPr>
            <w:tcW w:type="dxa" w:w="635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每个满足停顿条件的读周期</w:t>
            </w:r>
          </w:p>
        </w:tc>
      </w:tr>
    </w:tbl>
    <w:p>
      <w:pPr>
        <w:spacing w:after="20"/>
      </w:pPr>
    </w:p>
    <w:p>
      <w:pPr>
        <w:widowControl/>
      </w:pPr>
      <w:r>
        <w:t>计数器默认32位，达到最大值后饱和保持。验证使用额外4位配置加速进入饱和区间，检查成功读写、非法尝试和背压统计。复位清零所有计数器。水位峰值不是本次已实现的统计项，不将其列为完成的拓展功能。</w:t>
      </w:r>
    </w:p>
    <w:p>
      <w:r>
        <w:br w:type="page"/>
      </w:r>
    </w:p>
    <w:p>
      <w:pPr>
        <w:pStyle w:val="Heading2"/>
      </w:pPr>
      <w:r>
        <w:t>3.5 统一监控与快照协议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250666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itor_fs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066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图2 统一监控状态机</w:t>
      </w:r>
    </w:p>
    <w:p>
      <w:pPr>
        <w:widowControl/>
      </w:pPr>
      <w:r>
        <w:t>监控域空闲时接受请求并翻转 request_toggle。每个 mailbox 在自己的源时钟域看到同步请求变化后，锁存整个状态包并更新确认。源包在下一次请求前保持，监控等待四路确认匹配，再经过 GUARD 和 CAPTURE 两个后续边沿后统一发布。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74"/>
        <w:gridCol w:w="1361"/>
        <w:gridCol w:w="6350"/>
      </w:tblGrid>
      <w:tr>
        <w:trPr>
          <w:cantSplit/>
          <w:tblHeader/>
        </w:trPr>
        <w:tc>
          <w:tcPr>
            <w:tcW w:type="dxa" w:w="1474"/>
            <w:vAlign w:val="center"/>
            <w:shd w:fill="E8EDF2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</w:pPr>
            <w:r>
              <w:rPr>
                <w:b/>
                <w:sz w:val="20"/>
              </w:rPr>
              <w:t>包</w:t>
            </w:r>
          </w:p>
        </w:tc>
        <w:tc>
          <w:tcPr>
            <w:tcW w:type="dxa" w:w="1361"/>
            <w:vAlign w:val="center"/>
            <w:shd w:fill="E8EDF2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  <w:jc w:val="center"/>
            </w:pPr>
            <w:r>
              <w:rPr>
                <w:b/>
                <w:sz w:val="20"/>
              </w:rPr>
              <w:t>默认宽度</w:t>
            </w:r>
          </w:p>
        </w:tc>
        <w:tc>
          <w:tcPr>
            <w:tcW w:type="dxa" w:w="6350"/>
            <w:vAlign w:val="center"/>
            <w:shd w:fill="E8EDF2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</w:pPr>
            <w:r>
              <w:rPr>
                <w:b/>
                <w:sz w:val="20"/>
              </w:rPr>
              <w:t>从高位到低位的字段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写状态包</w:t>
            </w:r>
          </w:p>
        </w:tc>
        <w:tc>
          <w:tcPr>
            <w:tcW w:type="dxa" w:w="136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  <w:jc w:val="center"/>
            </w:pPr>
            <w:r>
              <w:rPr>
                <w:b w:val="0"/>
                <w:sz w:val="20"/>
              </w:rPr>
              <w:t>75 bit</w:t>
            </w:r>
          </w:p>
        </w:tc>
        <w:tc>
          <w:tcPr>
            <w:tcW w:type="dxa" w:w="635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almost_full、full、wr_level、overflow_count、write_count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读状态包</w:t>
            </w:r>
          </w:p>
        </w:tc>
        <w:tc>
          <w:tcPr>
            <w:tcW w:type="dxa" w:w="136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  <w:jc w:val="center"/>
            </w:pPr>
            <w:r>
              <w:rPr>
                <w:b w:val="0"/>
                <w:sz w:val="20"/>
              </w:rPr>
              <w:t>139 bit</w:t>
            </w:r>
          </w:p>
        </w:tc>
        <w:tc>
          <w:tcPr>
            <w:tcW w:type="dxa" w:w="635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almost_empty、empty、rd_level、backpressure_cycles、backpressure_count、underflow_count、read_count</w:t>
            </w:r>
          </w:p>
        </w:tc>
      </w:tr>
    </w:tbl>
    <w:p>
      <w:pPr>
        <w:spacing w:after="20"/>
      </w:pPr>
    </w:p>
    <w:p>
      <w:pPr>
        <w:widowControl/>
      </w:pPr>
      <w:r>
        <w:t>统一发布时四个包一起更新，snapshot_valid仅保持一个监控周期，snapshot_id加一。busy时请求不排队；共同复位取消未完成事务。AUTO_REFRESH_CYCLES=0为手动模式，非零时在空闲期间按设定周期发起刷新；实际刷新间隔还包含握手完成时间。</w:t>
      </w:r>
    </w:p>
    <w:p>
      <w:pPr>
        <w:widowControl/>
      </w:pPr>
      <w:r>
        <w:t>保持总线方案依赖真实实现中的数据到达时间，因此约束中对四条 held_data总线施加一个监控周期的最大数据路径限制，并单独核对这些限制没有被跨域假路径覆盖。</w:t>
      </w:r>
    </w:p>
    <w:p>
      <w:r>
        <w:br w:type="page"/>
      </w:r>
    </w:p>
    <w:p>
      <w:pPr>
        <w:pStyle w:val="Heading2"/>
      </w:pPr>
      <w:r>
        <w:t>3.6 关键接口定义</w:t>
      </w:r>
    </w:p>
    <w:p>
      <w:pPr>
        <w:widowControl/>
      </w:pPr>
      <w:r>
        <w:t>下表为原始dual_async_fifo顶层的默认位宽。每路端口分别带a_或b_前缀，共享端口不带通道前缀。评估封装只重排统计的可观察输出，不改变业务接受规则。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628"/>
        <w:gridCol w:w="907"/>
        <w:gridCol w:w="1134"/>
        <w:gridCol w:w="3515"/>
      </w:tblGrid>
      <w:tr>
        <w:trPr>
          <w:cantSplit/>
          <w:tblHeader/>
        </w:trPr>
        <w:tc>
          <w:tcPr>
            <w:tcW w:type="dxa" w:w="3628"/>
            <w:vAlign w:val="center"/>
            <w:shd w:fill="E8EDF2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</w:pPr>
            <w:r>
              <w:rPr>
                <w:b/>
                <w:sz w:val="20"/>
              </w:rPr>
              <w:t>端口或字段</w:t>
            </w:r>
          </w:p>
        </w:tc>
        <w:tc>
          <w:tcPr>
            <w:tcW w:type="dxa" w:w="907"/>
            <w:vAlign w:val="center"/>
            <w:shd w:fill="E8EDF2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  <w:jc w:val="center"/>
            </w:pPr>
            <w:r>
              <w:rPr>
                <w:b/>
                <w:sz w:val="20"/>
              </w:rPr>
              <w:t>位宽</w:t>
            </w:r>
          </w:p>
        </w:tc>
        <w:tc>
          <w:tcPr>
            <w:tcW w:type="dxa" w:w="1134"/>
            <w:vAlign w:val="center"/>
            <w:shd w:fill="E8EDF2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  <w:jc w:val="center"/>
            </w:pPr>
            <w:r>
              <w:rPr>
                <w:b/>
                <w:sz w:val="20"/>
              </w:rPr>
              <w:t>所属域</w:t>
            </w:r>
          </w:p>
        </w:tc>
        <w:tc>
          <w:tcPr>
            <w:tcW w:type="dxa" w:w="3515"/>
            <w:vAlign w:val="center"/>
            <w:shd w:fill="E8EDF2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</w:pPr>
            <w:r>
              <w:rPr>
                <w:b/>
                <w:sz w:val="20"/>
              </w:rPr>
              <w:t>用途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rst_n</w:t>
            </w:r>
          </w:p>
        </w:tc>
        <w:tc>
          <w:tcPr>
            <w:tcW w:type="dxa" w:w="90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  <w:jc w:val="center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13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  <w:jc w:val="center"/>
            </w:pPr>
            <w:r>
              <w:rPr>
                <w:b w:val="0"/>
                <w:sz w:val="20"/>
              </w:rPr>
              <w:t>共同复位</w:t>
            </w:r>
          </w:p>
        </w:tc>
        <w:tc>
          <w:tcPr>
            <w:tcW w:type="dxa" w:w="351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低有效；各域同步释放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wr_clk / rd_clk</w:t>
            </w:r>
          </w:p>
        </w:tc>
        <w:tc>
          <w:tcPr>
            <w:tcW w:type="dxa" w:w="90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  <w:jc w:val="center"/>
            </w:pPr>
            <w:r>
              <w:rPr>
                <w:b w:val="0"/>
                <w:sz w:val="20"/>
              </w:rPr>
              <w:t>各1</w:t>
            </w:r>
          </w:p>
        </w:tc>
        <w:tc>
          <w:tcPr>
            <w:tcW w:type="dxa" w:w="113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  <w:jc w:val="center"/>
            </w:pPr>
            <w:r>
              <w:rPr>
                <w:b w:val="0"/>
                <w:sz w:val="20"/>
              </w:rPr>
              <w:t>各路读写</w:t>
            </w:r>
          </w:p>
        </w:tc>
        <w:tc>
          <w:tcPr>
            <w:tcW w:type="dxa" w:w="351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独立上升沿时钟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wr_en / wr_data</w:t>
            </w:r>
          </w:p>
        </w:tc>
        <w:tc>
          <w:tcPr>
            <w:tcW w:type="dxa" w:w="90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  <w:jc w:val="center"/>
            </w:pPr>
            <w:r>
              <w:rPr>
                <w:b w:val="0"/>
                <w:sz w:val="20"/>
              </w:rPr>
              <w:t>1 / 32</w:t>
            </w:r>
          </w:p>
        </w:tc>
        <w:tc>
          <w:tcPr>
            <w:tcW w:type="dxa" w:w="113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  <w:jc w:val="center"/>
            </w:pPr>
            <w:r>
              <w:rPr>
                <w:b w:val="0"/>
                <w:sz w:val="20"/>
              </w:rPr>
              <w:t>写域</w:t>
            </w:r>
          </w:p>
        </w:tc>
        <w:tc>
          <w:tcPr>
            <w:tcW w:type="dxa" w:w="351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写请求及对应数据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rd_en / rd_ready</w:t>
            </w:r>
          </w:p>
        </w:tc>
        <w:tc>
          <w:tcPr>
            <w:tcW w:type="dxa" w:w="90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  <w:jc w:val="center"/>
            </w:pPr>
            <w:r>
              <w:rPr>
                <w:b w:val="0"/>
                <w:sz w:val="20"/>
              </w:rPr>
              <w:t>各1</w:t>
            </w:r>
          </w:p>
        </w:tc>
        <w:tc>
          <w:tcPr>
            <w:tcW w:type="dxa" w:w="113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  <w:jc w:val="center"/>
            </w:pPr>
            <w:r>
              <w:rPr>
                <w:b w:val="0"/>
                <w:sz w:val="20"/>
              </w:rPr>
              <w:t>读域</w:t>
            </w:r>
          </w:p>
        </w:tc>
        <w:tc>
          <w:tcPr>
            <w:tcW w:type="dxa" w:w="351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读请求及响应接收能力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rd_data / rd_data_valid</w:t>
            </w:r>
          </w:p>
        </w:tc>
        <w:tc>
          <w:tcPr>
            <w:tcW w:type="dxa" w:w="90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  <w:jc w:val="center"/>
            </w:pPr>
            <w:r>
              <w:rPr>
                <w:b w:val="0"/>
                <w:sz w:val="20"/>
              </w:rPr>
              <w:t>32 / 1</w:t>
            </w:r>
          </w:p>
        </w:tc>
        <w:tc>
          <w:tcPr>
            <w:tcW w:type="dxa" w:w="113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  <w:jc w:val="center"/>
            </w:pPr>
            <w:r>
              <w:rPr>
                <w:b w:val="0"/>
                <w:sz w:val="20"/>
              </w:rPr>
              <w:t>读域</w:t>
            </w:r>
          </w:p>
        </w:tc>
        <w:tc>
          <w:tcPr>
            <w:tcW w:type="dxa" w:w="351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读响应及单拍有效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full / almost_full / wr_level</w:t>
            </w:r>
          </w:p>
        </w:tc>
        <w:tc>
          <w:tcPr>
            <w:tcW w:type="dxa" w:w="90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  <w:jc w:val="center"/>
            </w:pPr>
            <w:r>
              <w:rPr>
                <w:b w:val="0"/>
                <w:sz w:val="20"/>
              </w:rPr>
              <w:t>1/1/9</w:t>
            </w:r>
          </w:p>
        </w:tc>
        <w:tc>
          <w:tcPr>
            <w:tcW w:type="dxa" w:w="113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  <w:jc w:val="center"/>
            </w:pPr>
            <w:r>
              <w:rPr>
                <w:b w:val="0"/>
                <w:sz w:val="20"/>
              </w:rPr>
              <w:t>写域</w:t>
            </w:r>
          </w:p>
        </w:tc>
        <w:tc>
          <w:tcPr>
            <w:tcW w:type="dxa" w:w="351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满保护、预警及估计水位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empty / almost_empty / rd_level</w:t>
            </w:r>
          </w:p>
        </w:tc>
        <w:tc>
          <w:tcPr>
            <w:tcW w:type="dxa" w:w="90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  <w:jc w:val="center"/>
            </w:pPr>
            <w:r>
              <w:rPr>
                <w:b w:val="0"/>
                <w:sz w:val="20"/>
              </w:rPr>
              <w:t>1/1/9</w:t>
            </w:r>
          </w:p>
        </w:tc>
        <w:tc>
          <w:tcPr>
            <w:tcW w:type="dxa" w:w="113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  <w:jc w:val="center"/>
            </w:pPr>
            <w:r>
              <w:rPr>
                <w:b w:val="0"/>
                <w:sz w:val="20"/>
              </w:rPr>
              <w:t>读域</w:t>
            </w:r>
          </w:p>
        </w:tc>
        <w:tc>
          <w:tcPr>
            <w:tcW w:type="dxa" w:w="351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空保护、预警及估计水位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wr_rst_done / rd_rst_done</w:t>
            </w:r>
          </w:p>
        </w:tc>
        <w:tc>
          <w:tcPr>
            <w:tcW w:type="dxa" w:w="90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  <w:jc w:val="center"/>
            </w:pPr>
            <w:r>
              <w:rPr>
                <w:b w:val="0"/>
                <w:sz w:val="20"/>
              </w:rPr>
              <w:t>各1</w:t>
            </w:r>
          </w:p>
        </w:tc>
        <w:tc>
          <w:tcPr>
            <w:tcW w:type="dxa" w:w="113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  <w:jc w:val="center"/>
            </w:pPr>
            <w:r>
              <w:rPr>
                <w:b w:val="0"/>
                <w:sz w:val="20"/>
              </w:rPr>
              <w:t>对应域</w:t>
            </w:r>
          </w:p>
        </w:tc>
        <w:tc>
          <w:tcPr>
            <w:tcW w:type="dxa" w:w="351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本地复位释放完成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write_count / overflow_count</w:t>
            </w:r>
          </w:p>
        </w:tc>
        <w:tc>
          <w:tcPr>
            <w:tcW w:type="dxa" w:w="90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  <w:jc w:val="center"/>
            </w:pPr>
            <w:r>
              <w:rPr>
                <w:b w:val="0"/>
                <w:sz w:val="20"/>
              </w:rPr>
              <w:t>各32</w:t>
            </w:r>
          </w:p>
        </w:tc>
        <w:tc>
          <w:tcPr>
            <w:tcW w:type="dxa" w:w="113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  <w:jc w:val="center"/>
            </w:pPr>
            <w:r>
              <w:rPr>
                <w:b w:val="0"/>
                <w:sz w:val="20"/>
              </w:rPr>
              <w:t>写域</w:t>
            </w:r>
          </w:p>
        </w:tc>
        <w:tc>
          <w:tcPr>
            <w:tcW w:type="dxa" w:w="351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成功写入与满时写尝试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read_count / underflow_count</w:t>
            </w:r>
          </w:p>
        </w:tc>
        <w:tc>
          <w:tcPr>
            <w:tcW w:type="dxa" w:w="90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  <w:jc w:val="center"/>
            </w:pPr>
            <w:r>
              <w:rPr>
                <w:b w:val="0"/>
                <w:sz w:val="20"/>
              </w:rPr>
              <w:t>各32</w:t>
            </w:r>
          </w:p>
        </w:tc>
        <w:tc>
          <w:tcPr>
            <w:tcW w:type="dxa" w:w="113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  <w:jc w:val="center"/>
            </w:pPr>
            <w:r>
              <w:rPr>
                <w:b w:val="0"/>
                <w:sz w:val="20"/>
              </w:rPr>
              <w:t>读域</w:t>
            </w:r>
          </w:p>
        </w:tc>
        <w:tc>
          <w:tcPr>
            <w:tcW w:type="dxa" w:w="351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成功读出与空时有效读尝试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backpressure_count / backpressure_cycles</w:t>
            </w:r>
          </w:p>
        </w:tc>
        <w:tc>
          <w:tcPr>
            <w:tcW w:type="dxa" w:w="90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  <w:jc w:val="center"/>
            </w:pPr>
            <w:r>
              <w:rPr>
                <w:b w:val="0"/>
                <w:sz w:val="20"/>
              </w:rPr>
              <w:t>各32</w:t>
            </w:r>
          </w:p>
        </w:tc>
        <w:tc>
          <w:tcPr>
            <w:tcW w:type="dxa" w:w="113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  <w:jc w:val="center"/>
            </w:pPr>
            <w:r>
              <w:rPr>
                <w:b w:val="0"/>
                <w:sz w:val="20"/>
              </w:rPr>
              <w:t>读域</w:t>
            </w:r>
          </w:p>
        </w:tc>
        <w:tc>
          <w:tcPr>
            <w:tcW w:type="dxa" w:w="351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停顿事件与停顿周期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monitor_clk</w:t>
            </w:r>
          </w:p>
        </w:tc>
        <w:tc>
          <w:tcPr>
            <w:tcW w:type="dxa" w:w="90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  <w:jc w:val="center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13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  <w:jc w:val="center"/>
            </w:pPr>
            <w:r>
              <w:rPr>
                <w:b w:val="0"/>
                <w:sz w:val="20"/>
              </w:rPr>
              <w:t>监控域</w:t>
            </w:r>
          </w:p>
        </w:tc>
        <w:tc>
          <w:tcPr>
            <w:tcW w:type="dxa" w:w="351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共享监控时钟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snapshot_req / ready / busy / valid</w:t>
            </w:r>
          </w:p>
        </w:tc>
        <w:tc>
          <w:tcPr>
            <w:tcW w:type="dxa" w:w="90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  <w:jc w:val="center"/>
            </w:pPr>
            <w:r>
              <w:rPr>
                <w:b w:val="0"/>
                <w:sz w:val="20"/>
              </w:rPr>
              <w:t>各1</w:t>
            </w:r>
          </w:p>
        </w:tc>
        <w:tc>
          <w:tcPr>
            <w:tcW w:type="dxa" w:w="113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  <w:jc w:val="center"/>
            </w:pPr>
            <w:r>
              <w:rPr>
                <w:b w:val="0"/>
                <w:sz w:val="20"/>
              </w:rPr>
              <w:t>监控域</w:t>
            </w:r>
          </w:p>
        </w:tc>
        <w:tc>
          <w:tcPr>
            <w:tcW w:type="dxa" w:w="351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完整名称均带snapshot_前缀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snapshot_id</w:t>
            </w:r>
          </w:p>
        </w:tc>
        <w:tc>
          <w:tcPr>
            <w:tcW w:type="dxa" w:w="90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  <w:jc w:val="center"/>
            </w:pPr>
            <w:r>
              <w:rPr>
                <w:b w:val="0"/>
                <w:sz w:val="20"/>
              </w:rPr>
              <w:t>32</w:t>
            </w:r>
          </w:p>
        </w:tc>
        <w:tc>
          <w:tcPr>
            <w:tcW w:type="dxa" w:w="113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  <w:jc w:val="center"/>
            </w:pPr>
            <w:r>
              <w:rPr>
                <w:b w:val="0"/>
                <w:sz w:val="20"/>
              </w:rPr>
              <w:t>监控域</w:t>
            </w:r>
          </w:p>
        </w:tc>
        <w:tc>
          <w:tcPr>
            <w:tcW w:type="dxa" w:w="351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每次统一发布递增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a_write_status / b_write_status</w:t>
            </w:r>
          </w:p>
        </w:tc>
        <w:tc>
          <w:tcPr>
            <w:tcW w:type="dxa" w:w="90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  <w:jc w:val="center"/>
            </w:pPr>
            <w:r>
              <w:rPr>
                <w:b w:val="0"/>
                <w:sz w:val="20"/>
              </w:rPr>
              <w:t>各75</w:t>
            </w:r>
          </w:p>
        </w:tc>
        <w:tc>
          <w:tcPr>
            <w:tcW w:type="dxa" w:w="113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  <w:jc w:val="center"/>
            </w:pPr>
            <w:r>
              <w:rPr>
                <w:b w:val="0"/>
                <w:sz w:val="20"/>
              </w:rPr>
              <w:t>监控域</w:t>
            </w:r>
          </w:p>
        </w:tc>
        <w:tc>
          <w:tcPr>
            <w:tcW w:type="dxa" w:w="351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两路写状态包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a_read_status / b_read_status</w:t>
            </w:r>
          </w:p>
        </w:tc>
        <w:tc>
          <w:tcPr>
            <w:tcW w:type="dxa" w:w="90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  <w:jc w:val="center"/>
            </w:pPr>
            <w:r>
              <w:rPr>
                <w:b w:val="0"/>
                <w:sz w:val="20"/>
              </w:rPr>
              <w:t>各139</w:t>
            </w:r>
          </w:p>
        </w:tc>
        <w:tc>
          <w:tcPr>
            <w:tcW w:type="dxa" w:w="113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  <w:jc w:val="center"/>
            </w:pPr>
            <w:r>
              <w:rPr>
                <w:b w:val="0"/>
                <w:sz w:val="20"/>
              </w:rPr>
              <w:t>监控域</w:t>
            </w:r>
          </w:p>
        </w:tc>
        <w:tc>
          <w:tcPr>
            <w:tcW w:type="dxa" w:w="351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两路读状态包</w:t>
            </w:r>
          </w:p>
        </w:tc>
      </w:tr>
    </w:tbl>
    <w:p>
      <w:pPr>
        <w:spacing w:after="20"/>
      </w:pPr>
    </w:p>
    <w:p>
      <w:pPr>
        <w:widowControl/>
      </w:pPr>
      <w:r>
        <w:t>包字段布局和有效条件见3.5节。原始顶层共1038位端口；软件评估用dual_fifo_eval增加5位status_select和32位status_data，后者为只读异步诊断组合输出，不作为新的跨域数据接收协议。</w:t>
      </w:r>
    </w:p>
    <w:p>
      <w:r>
        <w:br w:type="page"/>
      </w:r>
    </w:p>
    <w:p>
      <w:pPr>
        <w:pStyle w:val="Heading2"/>
      </w:pPr>
      <w:r>
        <w:t>3.7 验证平台与指定场景</w:t>
      </w:r>
    </w:p>
    <w:p>
      <w:pPr>
        <w:widowControl/>
      </w:pPr>
      <w:r>
        <w:t>每路独立参考队列只根据实际接受操作入队和出队。写、读位置模型各自维护对侧位置的延迟副本，以核对注册标志和水位；采样延后1 ps避开非阻塞赋值更新。另一个检查器在源确认变化时记录外部状态包，再逐次比较监控发布，检查器不直接把 DUT 内部状态包当作预期值。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3685"/>
        <w:gridCol w:w="3798"/>
      </w:tblGrid>
      <w:tr>
        <w:trPr>
          <w:cantSplit/>
          <w:tblHeader/>
        </w:trPr>
        <w:tc>
          <w:tcPr>
            <w:tcW w:type="dxa" w:w="1701"/>
            <w:vAlign w:val="center"/>
            <w:shd w:fill="E8EDF2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</w:pPr>
            <w:r>
              <w:rPr>
                <w:b/>
                <w:sz w:val="20"/>
              </w:rPr>
              <w:t>任务书用例</w:t>
            </w:r>
          </w:p>
        </w:tc>
        <w:tc>
          <w:tcPr>
            <w:tcW w:type="dxa" w:w="3685"/>
            <w:vAlign w:val="center"/>
            <w:shd w:fill="E8EDF2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</w:pPr>
            <w:r>
              <w:rPr>
                <w:b/>
                <w:sz w:val="20"/>
              </w:rPr>
              <w:t>执行内容</w:t>
            </w:r>
          </w:p>
        </w:tc>
        <w:tc>
          <w:tcPr>
            <w:tcW w:type="dxa" w:w="3798"/>
            <w:vAlign w:val="center"/>
            <w:shd w:fill="E8EDF2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</w:pPr>
            <w:r>
              <w:rPr>
                <w:b/>
                <w:sz w:val="20"/>
              </w:rPr>
              <w:t>主要核对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6.1 写满读空</w:t>
            </w:r>
          </w:p>
        </w:tc>
        <w:tc>
          <w:tcPr>
            <w:tcW w:type="dxa" w:w="368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  <w:jc w:val="center"/>
            </w:pPr>
            <w:r>
              <w:rPr>
                <w:b w:val="0"/>
                <w:sz w:val="20"/>
              </w:rPr>
              <w:t>两路各三轮装满256项并排空</w:t>
            </w:r>
          </w:p>
        </w:tc>
        <w:tc>
          <w:tcPr>
            <w:tcW w:type="dxa" w:w="379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容量、顺序、绕回与空满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6.2 随机混合</w:t>
            </w:r>
          </w:p>
        </w:tc>
        <w:tc>
          <w:tcPr>
            <w:tcW w:type="dxa" w:w="368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每路5000次随机写侧决策，读侧独立决策</w:t>
            </w:r>
          </w:p>
        </w:tc>
        <w:tc>
          <w:tcPr>
            <w:tcW w:type="dxa" w:w="379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写多读少、均衡、写少读多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6.3 保护与错误</w:t>
            </w:r>
          </w:p>
        </w:tc>
        <w:tc>
          <w:tcPr>
            <w:tcW w:type="dxa" w:w="368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  <w:jc w:val="center"/>
            </w:pPr>
            <w:r>
              <w:rPr>
                <w:b w:val="0"/>
                <w:sz w:val="20"/>
              </w:rPr>
              <w:t>满后写、空后读各额外20次</w:t>
            </w:r>
          </w:p>
        </w:tc>
        <w:tc>
          <w:tcPr>
            <w:tcW w:type="dxa" w:w="379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指针与数据保持、错误增量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6.4 阈值穿越</w:t>
            </w:r>
          </w:p>
        </w:tc>
        <w:tc>
          <w:tcPr>
            <w:tcW w:type="dxa" w:w="368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覆盖31/32/33及223/224/225等边界</w:t>
            </w:r>
          </w:p>
        </w:tc>
        <w:tc>
          <w:tcPr>
            <w:tcW w:type="dxa" w:w="379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标志上升下降、可选回差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6.5 背压</w:t>
            </w:r>
          </w:p>
        </w:tc>
        <w:tc>
          <w:tcPr>
            <w:tcW w:type="dxa" w:w="368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随机就绪变化及1拍、4拍、64拍定向停顿</w:t>
            </w:r>
          </w:p>
        </w:tc>
        <w:tc>
          <w:tcPr>
            <w:tcW w:type="dxa" w:w="379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数据完整、暂停恢复与统计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6.6 双路组合</w:t>
            </w:r>
          </w:p>
        </w:tc>
        <w:tc>
          <w:tcPr>
            <w:tcW w:type="dxa" w:w="368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A满B空、B满A空、同时几乎满及同时停顿</w:t>
            </w:r>
          </w:p>
        </w:tc>
        <w:tc>
          <w:tcPr>
            <w:tcW w:type="dxa" w:w="379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通道独立与监控一致</w:t>
            </w:r>
          </w:p>
        </w:tc>
      </w:tr>
    </w:tbl>
    <w:p>
      <w:pPr>
        <w:spacing w:after="20"/>
      </w:pPr>
    </w:p>
    <w:p>
      <w:pPr>
        <w:widowControl/>
      </w:pPr>
      <w:r>
        <w:t>“5000次”精确定义为每路5000个写时钟上的随机决策，读侧同时独立运行，并不表示每次请求都被接受。随机阶段按85/50/20%的写概率与20/50/90%的读概率切换，ready有效概率为75%，以产生不同流量状态。</w:t>
      </w:r>
    </w:p>
    <w:p>
      <w:pPr>
        <w:widowControl/>
      </w:pPr>
      <w:r>
        <w:t>所有运行有超时和失败判定。收尾停止写入、解除背压，等待最终指针传播并排空，核对累计写入=累计读出+复位丢弃。原始日志保存固定种子、参数、相位和结果，单独选择用例和快速自检属于后续便利性完善。</w:t>
      </w:r>
    </w:p>
    <w:p>
      <w:r>
        <w:br w:type="page"/>
      </w:r>
    </w:p>
    <w:p>
      <w:pPr>
        <w:pStyle w:val="Heading1"/>
      </w:pPr>
      <w:r>
        <w:t>4 设计结果分析</w:t>
      </w:r>
    </w:p>
    <w:p>
      <w:pPr>
        <w:widowControl/>
      </w:pPr>
      <w:r>
        <w:t>两路核心、统一监控和六类指定场景已实现。单通道9组、双通道10组回归通过；原生功能目标合并命中63/63，六组延迟和吞吐测量通过。后文分别呈现 RTL 行为结果、目标器件资源与时序结果，避免将仿真速率当作物理最高频率。</w:t>
      </w:r>
    </w:p>
    <w:p>
      <w:pPr>
        <w:pStyle w:val="Heading2"/>
      </w:pPr>
      <w:r>
        <w:t>4.1 验证结果与覆盖率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948"/>
        <w:gridCol w:w="6236"/>
      </w:tblGrid>
      <w:tr>
        <w:trPr>
          <w:cantSplit/>
          <w:tblHeader/>
        </w:trPr>
        <w:tc>
          <w:tcPr>
            <w:tcW w:type="dxa" w:w="2948"/>
            <w:vAlign w:val="center"/>
            <w:shd w:fill="E8EDF2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</w:pPr>
            <w:r>
              <w:rPr>
                <w:b/>
                <w:sz w:val="20"/>
              </w:rPr>
              <w:t>验证集合</w:t>
            </w:r>
          </w:p>
        </w:tc>
        <w:tc>
          <w:tcPr>
            <w:tcW w:type="dxa" w:w="6236"/>
            <w:vAlign w:val="center"/>
            <w:shd w:fill="E8EDF2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</w:pPr>
            <w:r>
              <w:rPr>
                <w:b/>
                <w:sz w:val="20"/>
              </w:rPr>
              <w:t>实测结果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单通道回归</w:t>
            </w:r>
          </w:p>
        </w:tc>
        <w:tc>
          <w:tcPr>
            <w:tcW w:type="dxa" w:w="623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  <w:jc w:val="center"/>
            </w:pPr>
            <w:r>
              <w:rPr>
                <w:b w:val="0"/>
                <w:sz w:val="20"/>
              </w:rPr>
              <w:t>9组通过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双通道及监控回归</w:t>
            </w:r>
          </w:p>
        </w:tc>
        <w:tc>
          <w:tcPr>
            <w:tcW w:type="dxa" w:w="623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10组通过，共9763649次过程式检查、10290次快照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原生覆盖率回放</w:t>
            </w:r>
          </w:p>
        </w:tc>
        <w:tc>
          <w:tcPr>
            <w:tcW w:type="dxa" w:w="623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2组通过，C++独立队列检查1121147次通过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功能目标并集</w:t>
            </w:r>
          </w:p>
        </w:tc>
        <w:tc>
          <w:tcPr>
            <w:tcW w:type="dxa" w:w="623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  <w:jc w:val="center"/>
            </w:pPr>
            <w:r>
              <w:rPr>
                <w:b w:val="0"/>
                <w:sz w:val="20"/>
              </w:rPr>
              <w:t>63/63，100%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断言激活</w:t>
            </w:r>
          </w:p>
        </w:tc>
        <w:tc>
          <w:tcPr>
            <w:tcW w:type="dxa" w:w="623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  <w:jc w:val="center"/>
            </w:pPr>
            <w:r>
              <w:rPr>
                <w:b w:val="0"/>
                <w:sz w:val="20"/>
              </w:rPr>
              <w:t>17/17，断言失败0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RTL line插桩点</w:t>
            </w:r>
          </w:p>
        </w:tc>
        <w:tc>
          <w:tcPr>
            <w:tcW w:type="dxa" w:w="623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  <w:jc w:val="center"/>
            </w:pPr>
            <w:r>
              <w:rPr>
                <w:b w:val="0"/>
                <w:sz w:val="20"/>
              </w:rPr>
              <w:t>45/47，95.745%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RTL branch插桩点</w:t>
            </w:r>
          </w:p>
        </w:tc>
        <w:tc>
          <w:tcPr>
            <w:tcW w:type="dxa" w:w="623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  <w:jc w:val="center"/>
            </w:pPr>
            <w:r>
              <w:rPr>
                <w:b w:val="0"/>
                <w:sz w:val="20"/>
              </w:rPr>
              <w:t>59/64，92.188%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评估封装附加验证</w:t>
            </w:r>
          </w:p>
        </w:tc>
        <w:tc>
          <w:tcPr>
            <w:tcW w:type="dxa" w:w="623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两种同步级数通过原有完整自检及状态选择检查</w:t>
            </w:r>
          </w:p>
        </w:tc>
      </w:tr>
    </w:tbl>
    <w:p>
      <w:pPr>
        <w:spacing w:after="20"/>
      </w:pPr>
    </w:p>
    <w:p>
      <w:pPr>
        <w:widowControl/>
      </w:pPr>
      <w:r>
        <w:t>本机 ModelSim Starter的covergroup加载受许可证限制；额外 Verilator 二进制也会忽略 covergroup，因此改用实际支持的 cover property，开启原生功能点、line/branch插桩和SVA。原始.dat数据库随仓库保留，汇总程序只读取工具记录，不将旧的过程式计数改称原生覆盖率。</w:t>
      </w:r>
    </w:p>
    <w:p>
      <w:pPr>
        <w:widowControl/>
      </w:pPr>
      <w:r>
        <w:t>手动配置功能点为62/62；自动配置为61/63，其中手动模式专用的停钟等待、复位取消由手动配置命中，合并并集为63/63。断言激活由单独的cover property记录检查条件实际出现，不等同形式证明或工具自动断言覆盖率。</w:t>
      </w:r>
    </w:p>
    <w:p>
      <w:pPr>
        <w:widowControl/>
      </w:pPr>
      <w:r>
        <w:t>未命中代码点包括合法配置下不会执行的参数错误终止、两位监控状态已覆盖全部四种取值后剩余的default分支，以及不同参数展开下恒真或恒假的自动刷新条件。所有分母保留，逐点解释见 reports/native_coverage/POINTS.md。</w:t>
      </w:r>
    </w:p>
    <w:p>
      <w:pPr>
        <w:widowControl/>
      </w:pPr>
      <w:r>
        <w:t>负向检查分别在临时副本翻转RAM读数据或监控状态位，均能被检查器拒绝；原生回放还将首个预期读字翻转一位，得到exit=1的数据失配。正式RTL没有保留这些注错。</w:t>
      </w:r>
    </w:p>
    <w:p>
      <w:r>
        <w:br w:type="page"/>
      </w:r>
    </w:p>
    <w:p>
      <w:pPr>
        <w:pStyle w:val="Heading2"/>
      </w:pPr>
      <w:r>
        <w:t>4.2 关键仿真波形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193745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ve_full_releas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37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图3 满状态撤销与指针同步传播</w:t>
      </w:r>
    </w:p>
    <w:p>
      <w:pPr>
        <w:widowControl/>
      </w:pPr>
      <w:r>
        <w:t>波形来自种子1、两级同步、手动监控配置的通过运行。A路首次full撤销发生在11690 ns附近：读侧已经弹出数据后，写侧需要等待同步链和标志寄存更新，full才撤销。wr_level和rd_level属于不同域，不要求每一瞬间相等。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193745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ve_backpressur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37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图4 连续背压期间暂停弹出</w:t>
      </w:r>
    </w:p>
    <w:p>
      <w:pPr>
        <w:widowControl/>
      </w:pPr>
      <w:r>
        <w:t>76417 ns附近撤销ready后，读请求持续存在而rd_data_valid保持低，读域水位稳定；解除背压后继续读出。数据内容、顺序和输出保持由队列检查器逐次核对，波形只展示选定窗口。</w:t>
      </w:r>
    </w:p>
    <w:p>
      <w:r>
        <w:br w:type="page"/>
      </w:r>
    </w:p>
    <w:p>
      <w:pPr>
        <w:pStyle w:val="Heading2"/>
      </w:pPr>
      <w:r>
        <w:t>4.3 监控发布波形与复现条件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193745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ve_snapsho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37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图5 请求与快照发布</w:t>
      </w:r>
    </w:p>
    <w:p>
      <w:pPr>
        <w:widowControl/>
      </w:pPr>
      <w:r>
        <w:t>请求被接受后snapshot_ready撤销、busy置位；等待四个源域确认和保护窗口后，snapshot_valid产生单周期脉冲，snapshot_id递增。连续发布之间输出包保持稳定，各域数据对应同一请求但捕获时刻不同。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24"/>
        <w:gridCol w:w="6860"/>
      </w:tblGrid>
      <w:tr>
        <w:trPr>
          <w:cantSplit/>
          <w:tblHeader/>
        </w:trPr>
        <w:tc>
          <w:tcPr>
            <w:tcW w:type="dxa" w:w="2324"/>
            <w:vAlign w:val="center"/>
            <w:shd w:fill="E8EDF2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</w:pPr>
            <w:r>
              <w:rPr>
                <w:b/>
                <w:sz w:val="20"/>
              </w:rPr>
              <w:t>项目</w:t>
            </w:r>
          </w:p>
        </w:tc>
        <w:tc>
          <w:tcPr>
            <w:tcW w:type="dxa" w:w="6860"/>
            <w:vAlign w:val="center"/>
            <w:shd w:fill="E8EDF2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</w:pPr>
            <w:r>
              <w:rPr>
                <w:b/>
                <w:sz w:val="20"/>
              </w:rPr>
              <w:t>记录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仿真器</w:t>
            </w:r>
          </w:p>
        </w:tc>
        <w:tc>
          <w:tcPr>
            <w:tcW w:type="dxa" w:w="686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ModelSim ALTERA Starter Edition 10.3c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原生覆盖率工具</w:t>
            </w:r>
          </w:p>
        </w:tc>
        <w:tc>
          <w:tcPr>
            <w:tcW w:type="dxa" w:w="686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verilator包5.48.0；实际二进制rev vUNKNOWN-built20260516-4e853d8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C++编译</w:t>
            </w:r>
          </w:p>
        </w:tc>
        <w:tc>
          <w:tcPr>
            <w:tcW w:type="dxa" w:w="686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  <w:jc w:val="center"/>
            </w:pPr>
            <w:r>
              <w:rPr>
                <w:b w:val="0"/>
                <w:sz w:val="20"/>
              </w:rPr>
              <w:t>Zig 0.14.1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通用综合</w:t>
            </w:r>
          </w:p>
        </w:tc>
        <w:tc>
          <w:tcPr>
            <w:tcW w:type="dxa" w:w="686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Yosys 0.70，Git 28ba3cb92，YoWASP封装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目标实现</w:t>
            </w:r>
          </w:p>
        </w:tc>
        <w:tc>
          <w:tcPr>
            <w:tcW w:type="dxa" w:w="686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Tang Dynasty V6.2.168116，PH1A100SFG676，速度等级2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构建目录</w:t>
            </w:r>
          </w:p>
        </w:tc>
        <w:tc>
          <w:tcPr>
            <w:tcW w:type="dxa" w:w="686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使用英文路径；工具产物与大波形位于仓库外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结果溯源</w:t>
            </w:r>
          </w:p>
        </w:tc>
        <w:tc>
          <w:tcPr>
            <w:tcW w:type="dxa" w:w="686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各报告目录保留日志、参数及规范化源码SHA256</w:t>
            </w:r>
          </w:p>
        </w:tc>
      </w:tr>
    </w:tbl>
    <w:p>
      <w:pPr>
        <w:spacing w:after="20"/>
      </w:pPr>
    </w:p>
    <w:p>
      <w:pPr>
        <w:widowControl/>
      </w:pPr>
      <w:r>
        <w:t>代码、原生数据库、原始日志和报告保存在同一个Git仓库。此前功能验证的来源以其各自manifest为准，本阶段新增的评估封装、约束、波形和报告另记来源，不用新提交号替换旧实验的真实基线。</w:t>
      </w:r>
    </w:p>
    <w:p>
      <w:r>
        <w:br w:type="page"/>
      </w:r>
    </w:p>
    <w:p>
      <w:pPr>
        <w:pStyle w:val="Heading2"/>
      </w:pPr>
      <w:r>
        <w:t>4.4 软件实现目标与约束</w:t>
      </w:r>
    </w:p>
    <w:p>
      <w:pPr>
        <w:widowControl/>
      </w:pPr>
      <w:r>
        <w:t>采用已安装的TD工具和PH1A100SFG676速度等级2作软件评估，固定同一器件、线程数、布局种子及优化设置，对SYNC_STAGES=2和3分别实现。保留层次，关闭移位寄存器推断、寄存器合并与顺序优化，并检查原有ASYNC_REG属性。</w:t>
      </w:r>
    </w:p>
    <w:p>
      <w:pPr>
        <w:widowControl/>
      </w:pPr>
      <w:r>
        <w:t>原始顶层共有1038位端口，超过该封装的316个用户IO。评估封装保留数据、标志、水位和复位完成端口，将统计与快照的844位状态通过只读32位选择输出保留可观察性，顶层IO降至231。封装没有新增时序反馈，资源统计包含该组合选择逻辑与IO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68"/>
        <w:gridCol w:w="6917"/>
      </w:tblGrid>
      <w:tr>
        <w:trPr>
          <w:cantSplit/>
          <w:tblHeader/>
        </w:trPr>
        <w:tc>
          <w:tcPr>
            <w:tcW w:type="dxa" w:w="2268"/>
            <w:vAlign w:val="center"/>
            <w:shd w:fill="E8EDF2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</w:pPr>
            <w:r>
              <w:rPr>
                <w:b/>
                <w:sz w:val="20"/>
              </w:rPr>
              <w:t>约束对象</w:t>
            </w:r>
          </w:p>
        </w:tc>
        <w:tc>
          <w:tcPr>
            <w:tcW w:type="dxa" w:w="6917"/>
            <w:vAlign w:val="center"/>
            <w:shd w:fill="E8EDF2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</w:pPr>
            <w:r>
              <w:rPr>
                <w:b/>
                <w:sz w:val="20"/>
              </w:rPr>
              <w:t>约束及检查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五个独立时钟</w:t>
            </w:r>
          </w:p>
        </w:tc>
        <w:tc>
          <w:tcPr>
            <w:tcW w:type="dxa" w:w="691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20/12/35/10/10 ns；显式不确定度0.2 ns，工具还计入器件默认不确定度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四条9位Gray总线</w:t>
            </w:r>
          </w:p>
        </w:tc>
        <w:tc>
          <w:tcPr>
            <w:tcW w:type="dxa" w:w="691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逐位最大数据延迟不超过源周期，以此作保守偏斜上界；只排除异步hold关系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四个mailbox请求及确认</w:t>
            </w:r>
          </w:p>
        </w:tc>
        <w:tc>
          <w:tcPr>
            <w:tcW w:type="dxa" w:w="691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共8条单bit跨域路径，最大数据延迟10 ns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四条保持总线</w:t>
            </w:r>
          </w:p>
        </w:tc>
        <w:tc>
          <w:tcPr>
            <w:tcW w:type="dxa" w:w="691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75/139/75/139 bit，各自最大数据延迟10 ns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普通外部数据接口</w:t>
            </w:r>
          </w:p>
        </w:tc>
        <w:tc>
          <w:tcPr>
            <w:tcW w:type="dxa" w:w="691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完整接口视图采用最小0.5 ns、最大为对应周期20%的预算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诊断选择输出与共同复位输入</w:t>
            </w:r>
          </w:p>
        </w:tc>
        <w:tc>
          <w:tcPr>
            <w:tcW w:type="dxa" w:w="691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显式列出例外；不用于宣称外部接口时序通过</w:t>
            </w:r>
          </w:p>
        </w:tc>
      </w:tr>
    </w:tbl>
    <w:p>
      <w:pPr>
        <w:spacing w:after="20"/>
      </w:pPr>
    </w:p>
    <w:p>
      <w:pPr>
        <w:widowControl/>
      </w:pPr>
      <w:r>
        <w:t>TD的read_sdc不执行任意Tcl循环，约束生成器因此输出纯静态SDC，端点审计使用独立Tcl。工具报告核对五个命名时钟和16组跨域数据路径，不能以默认DeriveClock或仅存在约束文件作为生效证据。</w:t>
      </w:r>
    </w:p>
    <w:p>
      <w:pPr>
        <w:widowControl/>
      </w:pPr>
      <w:r>
        <w:t>16组最大延迟约束覆盖472条路径，报告中Dominated等于Total，Shadowed和Ignored均为零。四条Gray总线每组均报告9位路径，两种级数各总线的最大数据路径在0.929至1.203 ns之间，均低于相应源周期。额外set_max_skew命令没有独立的生效报告，因此不宣称该命令已经完成独立偏斜签核。</w:t>
      </w:r>
    </w:p>
    <w:p>
      <w:pPr>
        <w:widowControl/>
      </w:pPr>
      <w:r>
        <w:t>分别保留完整接口预算视图和内部寄存器路径报告。后者在同一套SDC下筛选内部寄存器起止路径，不额外添加假路径或更改时钟；它用于分析核心逻辑，不能据此宣称外部接口已收敛。每组保存最差20个端点的报告。</w:t>
      </w:r>
    </w:p>
    <w:p>
      <w:r>
        <w:br w:type="page"/>
      </w:r>
    </w:p>
    <w:p>
      <w:pPr>
        <w:pStyle w:val="Heading2"/>
      </w:pPr>
      <w:r>
        <w:t>4.5 资源与时序实测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515"/>
        <w:gridCol w:w="2835"/>
        <w:gridCol w:w="2835"/>
      </w:tblGrid>
      <w:tr>
        <w:trPr>
          <w:cantSplit/>
          <w:tblHeader/>
        </w:trPr>
        <w:tc>
          <w:tcPr>
            <w:tcW w:type="dxa" w:w="3515"/>
            <w:vAlign w:val="center"/>
            <w:shd w:fill="E8EDF2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</w:pPr>
            <w:r>
              <w:rPr>
                <w:b/>
                <w:sz w:val="20"/>
              </w:rPr>
              <w:t>指标</w:t>
            </w:r>
          </w:p>
        </w:tc>
        <w:tc>
          <w:tcPr>
            <w:tcW w:type="dxa" w:w="2835"/>
            <w:vAlign w:val="center"/>
            <w:shd w:fill="E8EDF2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  <w:jc w:val="center"/>
            </w:pPr>
            <w:r>
              <w:rPr>
                <w:b/>
                <w:sz w:val="20"/>
              </w:rPr>
              <w:t>2级同步</w:t>
            </w:r>
          </w:p>
        </w:tc>
        <w:tc>
          <w:tcPr>
            <w:tcW w:type="dxa" w:w="2835"/>
            <w:vAlign w:val="center"/>
            <w:shd w:fill="E8EDF2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  <w:jc w:val="center"/>
            </w:pPr>
            <w:r>
              <w:rPr>
                <w:b/>
                <w:sz w:val="20"/>
              </w:rPr>
              <w:t>3级同步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TD目标实现寄存器位</w:t>
            </w:r>
          </w:p>
        </w:tc>
        <w:tc>
          <w:tcPr>
            <w:tcW w:type="dxa" w:w="283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  <w:jc w:val="center"/>
            </w:pPr>
            <w:r>
              <w:rPr>
                <w:b w:val="0"/>
                <w:sz w:val="20"/>
              </w:rPr>
              <w:t>1532</w:t>
            </w:r>
          </w:p>
        </w:tc>
        <w:tc>
          <w:tcPr>
            <w:tcW w:type="dxa" w:w="283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  <w:jc w:val="center"/>
            </w:pPr>
            <w:r>
              <w:rPr>
                <w:b w:val="0"/>
                <w:sz w:val="20"/>
              </w:rPr>
              <w:t>1576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目标实现LUT6</w:t>
            </w:r>
          </w:p>
        </w:tc>
        <w:tc>
          <w:tcPr>
            <w:tcW w:type="dxa" w:w="283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  <w:jc w:val="center"/>
            </w:pPr>
            <w:r>
              <w:rPr>
                <w:b w:val="0"/>
                <w:sz w:val="20"/>
              </w:rPr>
              <w:t>1040</w:t>
            </w:r>
          </w:p>
        </w:tc>
        <w:tc>
          <w:tcPr>
            <w:tcW w:type="dxa" w:w="283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  <w:jc w:val="center"/>
            </w:pPr>
            <w:r>
              <w:rPr>
                <w:b w:val="0"/>
                <w:sz w:val="20"/>
              </w:rPr>
              <w:t>1040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ERAM20K数量</w:t>
            </w:r>
          </w:p>
        </w:tc>
        <w:tc>
          <w:tcPr>
            <w:tcW w:type="dxa" w:w="283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  <w:jc w:val="center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83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  <w:jc w:val="center"/>
            </w:pPr>
            <w:r>
              <w:rPr>
                <w:b w:val="0"/>
                <w:sz w:val="20"/>
              </w:rPr>
              <w:t>2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顶层IO位</w:t>
            </w:r>
          </w:p>
        </w:tc>
        <w:tc>
          <w:tcPr>
            <w:tcW w:type="dxa" w:w="283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  <w:jc w:val="center"/>
            </w:pPr>
            <w:r>
              <w:rPr>
                <w:b w:val="0"/>
                <w:sz w:val="20"/>
              </w:rPr>
              <w:t>231</w:t>
            </w:r>
          </w:p>
        </w:tc>
        <w:tc>
          <w:tcPr>
            <w:tcW w:type="dxa" w:w="283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  <w:jc w:val="center"/>
            </w:pPr>
            <w:r>
              <w:rPr>
                <w:b w:val="0"/>
                <w:sz w:val="20"/>
              </w:rPr>
              <w:t>231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完整接口setup WNS ns</w:t>
            </w:r>
          </w:p>
        </w:tc>
        <w:tc>
          <w:tcPr>
            <w:tcW w:type="dxa" w:w="283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  <w:jc w:val="center"/>
            </w:pPr>
            <w:r>
              <w:rPr>
                <w:b w:val="0"/>
                <w:sz w:val="20"/>
              </w:rPr>
              <w:t>-5.919</w:t>
            </w:r>
          </w:p>
        </w:tc>
        <w:tc>
          <w:tcPr>
            <w:tcW w:type="dxa" w:w="283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  <w:jc w:val="center"/>
            </w:pPr>
            <w:r>
              <w:rPr>
                <w:b w:val="0"/>
                <w:sz w:val="20"/>
              </w:rPr>
              <w:t>-5.919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完整接口hold WNS ns</w:t>
            </w:r>
          </w:p>
        </w:tc>
        <w:tc>
          <w:tcPr>
            <w:tcW w:type="dxa" w:w="283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  <w:jc w:val="center"/>
            </w:pPr>
            <w:r>
              <w:rPr>
                <w:b w:val="0"/>
                <w:sz w:val="20"/>
              </w:rPr>
              <w:t>-2.794</w:t>
            </w:r>
          </w:p>
        </w:tc>
        <w:tc>
          <w:tcPr>
            <w:tcW w:type="dxa" w:w="283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  <w:jc w:val="center"/>
            </w:pPr>
            <w:r>
              <w:rPr>
                <w:b w:val="0"/>
                <w:sz w:val="20"/>
              </w:rPr>
              <w:t>-2.794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内部视图setup WNS ns</w:t>
            </w:r>
          </w:p>
        </w:tc>
        <w:tc>
          <w:tcPr>
            <w:tcW w:type="dxa" w:w="283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  <w:jc w:val="center"/>
            </w:pPr>
            <w:r>
              <w:rPr>
                <w:b w:val="0"/>
                <w:sz w:val="20"/>
              </w:rPr>
              <w:t>0.387</w:t>
            </w:r>
          </w:p>
        </w:tc>
        <w:tc>
          <w:tcPr>
            <w:tcW w:type="dxa" w:w="283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  <w:jc w:val="center"/>
            </w:pPr>
            <w:r>
              <w:rPr>
                <w:b w:val="0"/>
                <w:sz w:val="20"/>
              </w:rPr>
              <w:t>0.924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内部视图hold WNS ns</w:t>
            </w:r>
          </w:p>
        </w:tc>
        <w:tc>
          <w:tcPr>
            <w:tcW w:type="dxa" w:w="283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  <w:jc w:val="center"/>
            </w:pPr>
            <w:r>
              <w:rPr>
                <w:b w:val="0"/>
                <w:sz w:val="20"/>
              </w:rPr>
              <w:t>0.021</w:t>
            </w:r>
          </w:p>
        </w:tc>
        <w:tc>
          <w:tcPr>
            <w:tcW w:type="dxa" w:w="283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  <w:jc w:val="center"/>
            </w:pPr>
            <w:r>
              <w:rPr>
                <w:b w:val="0"/>
                <w:sz w:val="20"/>
              </w:rPr>
              <w:t>0.02</w:t>
            </w:r>
          </w:p>
        </w:tc>
      </w:tr>
    </w:tbl>
    <w:p>
      <w:pPr>
        <w:spacing w:after="20"/>
      </w:pPr>
    </w:p>
    <w:p>
      <w:pPr>
        <w:widowControl/>
      </w:pPr>
      <w:r>
        <w:t>两块RAM各存储8192个有效数据位，分别映射为一块ERAM20K，合计有效数据16384 bit。ERAM宏的物理容量与有效存储位数不同。LUT6、寄存器及RAM块数为目标资源口径，不换算成平方微米物理面积。</w:t>
      </w:r>
    </w:p>
    <w:p>
      <w:pPr>
        <w:widowControl/>
      </w:pPr>
      <w:r>
        <w:t>按TD层次资源归属，核心占用LUT6为799/812，只读评估封装及边界占用为241/228。层次间优化会改变归属，主要比较口径仍为整个评估顶层。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948"/>
        <w:gridCol w:w="3118"/>
        <w:gridCol w:w="3118"/>
      </w:tblGrid>
      <w:tr>
        <w:trPr>
          <w:cantSplit/>
          <w:tblHeader/>
        </w:trPr>
        <w:tc>
          <w:tcPr>
            <w:tcW w:type="dxa" w:w="2948"/>
            <w:vAlign w:val="center"/>
            <w:shd w:fill="E8EDF2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</w:pPr>
            <w:r>
              <w:rPr>
                <w:b/>
                <w:sz w:val="20"/>
              </w:rPr>
              <w:t>时钟域</w:t>
            </w:r>
          </w:p>
        </w:tc>
        <w:tc>
          <w:tcPr>
            <w:tcW w:type="dxa" w:w="3118"/>
            <w:vAlign w:val="center"/>
            <w:shd w:fill="E8EDF2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  <w:jc w:val="center"/>
            </w:pPr>
            <w:r>
              <w:rPr>
                <w:b/>
                <w:sz w:val="20"/>
              </w:rPr>
              <w:t>2级内部Fmax MHz</w:t>
            </w:r>
          </w:p>
        </w:tc>
        <w:tc>
          <w:tcPr>
            <w:tcW w:type="dxa" w:w="3118"/>
            <w:vAlign w:val="center"/>
            <w:shd w:fill="E8EDF2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  <w:jc w:val="center"/>
            </w:pPr>
            <w:r>
              <w:rPr>
                <w:b/>
                <w:sz w:val="20"/>
              </w:rPr>
              <w:t>3级内部Fmax MHz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a_wr_clk</w:t>
            </w:r>
          </w:p>
        </w:tc>
        <w:tc>
          <w:tcPr>
            <w:tcW w:type="dxa" w:w="311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  <w:jc w:val="center"/>
            </w:pPr>
            <w:r>
              <w:rPr>
                <w:b w:val="0"/>
                <w:sz w:val="20"/>
              </w:rPr>
              <w:t>131.718</w:t>
            </w:r>
          </w:p>
        </w:tc>
        <w:tc>
          <w:tcPr>
            <w:tcW w:type="dxa" w:w="311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  <w:jc w:val="center"/>
            </w:pPr>
            <w:r>
              <w:rPr>
                <w:b w:val="0"/>
                <w:sz w:val="20"/>
              </w:rPr>
              <w:t>172.176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a_rd_clk</w:t>
            </w:r>
          </w:p>
        </w:tc>
        <w:tc>
          <w:tcPr>
            <w:tcW w:type="dxa" w:w="311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  <w:jc w:val="center"/>
            </w:pPr>
            <w:r>
              <w:rPr>
                <w:b w:val="0"/>
                <w:sz w:val="20"/>
              </w:rPr>
              <w:t>211.149</w:t>
            </w:r>
          </w:p>
        </w:tc>
        <w:tc>
          <w:tcPr>
            <w:tcW w:type="dxa" w:w="311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  <w:jc w:val="center"/>
            </w:pPr>
            <w:r>
              <w:rPr>
                <w:b w:val="0"/>
                <w:sz w:val="20"/>
              </w:rPr>
              <w:t>190.114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b_wr_clk</w:t>
            </w:r>
          </w:p>
        </w:tc>
        <w:tc>
          <w:tcPr>
            <w:tcW w:type="dxa" w:w="311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  <w:jc w:val="center"/>
            </w:pPr>
            <w:r>
              <w:rPr>
                <w:b w:val="0"/>
                <w:sz w:val="20"/>
              </w:rPr>
              <w:t>173.31</w:t>
            </w:r>
          </w:p>
        </w:tc>
        <w:tc>
          <w:tcPr>
            <w:tcW w:type="dxa" w:w="311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  <w:jc w:val="center"/>
            </w:pPr>
            <w:r>
              <w:rPr>
                <w:b w:val="0"/>
                <w:sz w:val="20"/>
              </w:rPr>
              <w:t>159.821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b_rd_clk</w:t>
            </w:r>
          </w:p>
        </w:tc>
        <w:tc>
          <w:tcPr>
            <w:tcW w:type="dxa" w:w="311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  <w:jc w:val="center"/>
            </w:pPr>
            <w:r>
              <w:rPr>
                <w:b w:val="0"/>
                <w:sz w:val="20"/>
              </w:rPr>
              <w:t>173.31</w:t>
            </w:r>
          </w:p>
        </w:tc>
        <w:tc>
          <w:tcPr>
            <w:tcW w:type="dxa" w:w="311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  <w:jc w:val="center"/>
            </w:pPr>
            <w:r>
              <w:rPr>
                <w:b w:val="0"/>
                <w:sz w:val="20"/>
              </w:rPr>
              <w:t>189.609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monitor_clk</w:t>
            </w:r>
          </w:p>
        </w:tc>
        <w:tc>
          <w:tcPr>
            <w:tcW w:type="dxa" w:w="311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  <w:jc w:val="center"/>
            </w:pPr>
            <w:r>
              <w:rPr>
                <w:b w:val="0"/>
                <w:sz w:val="20"/>
              </w:rPr>
              <w:t>104.026</w:t>
            </w:r>
          </w:p>
        </w:tc>
        <w:tc>
          <w:tcPr>
            <w:tcW w:type="dxa" w:w="311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  <w:jc w:val="center"/>
            </w:pPr>
            <w:r>
              <w:rPr>
                <w:b w:val="0"/>
                <w:sz w:val="20"/>
              </w:rPr>
              <w:t>110.181</w:t>
            </w:r>
          </w:p>
        </w:tc>
      </w:tr>
    </w:tbl>
    <w:p>
      <w:pPr>
        <w:spacing w:after="20"/>
      </w:pPr>
    </w:p>
    <w:p>
      <w:pPr>
        <w:widowControl/>
      </w:pPr>
      <w:r>
        <w:t>完整接口预算视图未收敛，最差setup路径包含RAM到外部数据输出，最差hold路径包含外部写数据到RAM；这些路径受IO缓冲、自动引脚放置和外部预算影响。内部视图的Fmax只反映其定义下的内部路径，应与接口视图及hold结果一起阅读。</w:t>
      </w:r>
    </w:p>
    <w:p>
      <w:r>
        <w:br w:type="page"/>
      </w:r>
    </w:p>
    <w:p>
      <w:pPr>
        <w:pStyle w:val="Heading2"/>
      </w:pPr>
      <w:r>
        <w:t>4.6 PPA 对比与分析边界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57"/>
        <w:gridCol w:w="7427"/>
      </w:tblGrid>
      <w:tr>
        <w:trPr>
          <w:cantSplit/>
          <w:tblHeader/>
        </w:trPr>
        <w:tc>
          <w:tcPr>
            <w:tcW w:type="dxa" w:w="1757"/>
            <w:vAlign w:val="center"/>
            <w:shd w:fill="E8EDF2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</w:pPr>
            <w:r>
              <w:rPr>
                <w:b/>
                <w:sz w:val="20"/>
              </w:rPr>
              <w:t>维度</w:t>
            </w:r>
          </w:p>
        </w:tc>
        <w:tc>
          <w:tcPr>
            <w:tcW w:type="dxa" w:w="7427"/>
            <w:vAlign w:val="center"/>
            <w:shd w:fill="E8EDF2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</w:pPr>
            <w:r>
              <w:rPr>
                <w:b/>
                <w:sz w:val="20"/>
              </w:rPr>
              <w:t>本次结果及解释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P 功耗</w:t>
            </w:r>
          </w:p>
        </w:tc>
        <w:tc>
          <w:tcPr>
            <w:tcW w:type="dxa" w:w="742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未获得有效W值。TD提示PWR-5001 Import power lib first，本机未找到对应厂商功耗库。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P 性能</w:t>
            </w:r>
          </w:p>
        </w:tc>
        <w:tc>
          <w:tcPr>
            <w:tcW w:type="dxa" w:w="742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已记录两种时序视图、五域关键路径和Fmax；完整接口预算存在违例。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A 资源面积</w:t>
            </w:r>
          </w:p>
        </w:tc>
        <w:tc>
          <w:tcPr>
            <w:tcW w:type="dxa" w:w="742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以同器件LUT6、寄存器、ERAM及IO资源报告面积代理，不冒充硅面积。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延迟与吞吐</w:t>
            </w:r>
          </w:p>
        </w:tc>
        <w:tc>
          <w:tcPr>
            <w:tcW w:type="dxa" w:w="742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六组RTL行为测量独立列出，不作为达到物理频率的证明。</w:t>
            </w:r>
          </w:p>
        </w:tc>
      </w:tr>
    </w:tbl>
    <w:p>
      <w:pPr>
        <w:spacing w:after="20"/>
      </w:pPr>
    </w:p>
    <w:p>
      <w:pPr>
        <w:widowControl/>
      </w:pPr>
      <w:r>
        <w:t>原生功耗接口已能建立设计功耗图，但没有单元功耗库时不能执行有效计算。导出的空计数或零值不表示芯片功耗为零，本报告不将其填入PPA数值对比。后续得到匹配本器件的库后，需在两种级数下使用同一电压、结温、活动及分析阶段再计算。</w:t>
      </w:r>
    </w:p>
    <w:p>
      <w:pPr>
        <w:widowControl/>
      </w:pPr>
      <w:r>
        <w:t>仅对同步链的时钟负载作结构性比较：四条9位指针同步链和8条单bit监控同步链，共44 bit，每增加一级会多44个同步寄存器；从2级到3级，同步寄存器数量从88增至132，在等效单位时钟负载的假设下，该部分增加50%。这一比例不代表整个FIFO功耗增加50%，也不能换算为W。</w:t>
      </w:r>
    </w:p>
    <w:p>
      <w:pPr>
        <w:widowControl/>
      </w:pPr>
      <w:r>
        <w:t>诊断选择封装被计入目标资源和潜在功耗，核心内部时序视图则排除了其异步外部路径。使用不同顶层封装、引脚位置、IO标准或优化配置会改变实现结果，因此对比只在本报告给定条件内成立。</w:t>
      </w:r>
    </w:p>
    <w:p>
      <w:pPr>
        <w:widowControl/>
      </w:pPr>
      <w:r>
        <w:t>TD另给出TMR-5506关键警告：ERAM地址或片选来自异步复位寄存器，存在RAM数据异常翻转的潜在风险。当前协议在共同复位时丢弃旧内容并对有效操作门控，但尚未完成这一器件物理行为的门级或厂商规则验证。因此本报告保留该警告，不作可直接部署硬件的结论。</w:t>
      </w:r>
    </w:p>
    <w:p>
      <w:pPr>
        <w:widowControl/>
      </w:pPr>
      <w:r>
        <w:t>通用Yosys结果单独保留：保留抽象RAM时外部寄存器为1530/1574位，两种级数均为两块256×32 RAM；全部展开为FF后分别为17974/18018位。两种工具的优化和RAM吸收读寄存器口径不同，不直接混加这些数字。</w:t>
      </w:r>
    </w:p>
    <w:p>
      <w:r>
        <w:br w:type="page"/>
      </w:r>
    </w:p>
    <w:p>
      <w:pPr>
        <w:pStyle w:val="Heading2"/>
      </w:pPr>
      <w:r>
        <w:t>4.7 同步级数与 MTBF 分析</w:t>
      </w:r>
    </w:p>
    <w:p>
      <w:pPr>
        <w:widowControl/>
      </w:pPr>
      <w:r>
        <w:t>采用公开同步器模型解释可靠性：平均失效间隔随可用稳定时间呈指数增长，并与目标时钟频率及异步翻转率有关。C和τ依赖具体器件及工作条件。该关系用于说明同步级数的取舍，RTL零失配不能代替亚稳态失效率测量。[2][3]</w:t>
      </w:r>
    </w:p>
    <w:p>
      <w:pPr>
        <w:jc w:val="center"/>
      </w:pPr>
      <m:oMath>
        <m:r>
          <m:t>MTBF ≈ exp(Tres / τ) / (C · fclk · ftoggle)</m:t>
        </m:r>
      </m:oMath>
    </w:p>
    <w:p>
      <w:pPr>
        <w:jc w:val="center"/>
      </w:pPr>
      <m:oMath>
        <m:r>
          <m:t>MTBF3 / MTBF2 ≈ exp(ΔTres / τ)</m:t>
        </m:r>
      </m:oMath>
    </w:p>
    <w:p>
      <w:pPr>
        <w:widowControl/>
      </w:pPr>
      <w:r>
        <w:t>在布线和单元开销相近的假设下，增加一级同步可提供接近一个目标域周期的额外稳定时间；实际还需扣除单元、布线、setup及不确定度等开销。四个指针同步方向的参考目标周期分别为20、12、35、10 ns，不能给所有同步链套用同一个周期。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16000" cy="214846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tbf_relativ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1484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图6 无量纲模型敏感性 不是本器件寿命预测</w:t>
      </w:r>
    </w:p>
    <w:p>
      <w:pPr>
        <w:widowControl/>
      </w:pPr>
      <w:r>
        <w:t>本机资料未提供PH1A100同步器校准用C和τ，因此不填写绝对MTBF年数，也不把其他厂商的器件参数套入本器件。模型仅说明额外稳定时间的指数收益；系统总失效率还需汇总多个跨域同步链，不能用一条链的MTBF代替整个系统。</w:t>
      </w:r>
    </w:p>
    <w:p>
      <w:pPr>
        <w:widowControl/>
      </w:pPr>
      <w:r>
        <w:t>实测代价与模型分析分别记录：通用综合多44位寄存器，首项读接受增加一个读时钟周期，full撤销增加一个写时钟周期；额外等待使短突发和空满频繁切换时更容易停顿。</w:t>
      </w:r>
    </w:p>
    <w:p>
      <w:r>
        <w:br w:type="page"/>
      </w:r>
    </w:p>
    <w:p>
      <w:pPr>
        <w:pStyle w:val="Heading2"/>
      </w:pPr>
      <w:r>
        <w:t>4.8 延迟与吞吐对比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35"/>
        <w:gridCol w:w="1701"/>
        <w:gridCol w:w="2324"/>
        <w:gridCol w:w="2324"/>
      </w:tblGrid>
      <w:tr>
        <w:trPr>
          <w:cantSplit/>
          <w:tblHeader/>
        </w:trPr>
        <w:tc>
          <w:tcPr>
            <w:tcW w:type="dxa" w:w="2835"/>
            <w:vAlign w:val="center"/>
            <w:shd w:fill="E8EDF2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</w:pPr>
            <w:r>
              <w:rPr>
                <w:b/>
                <w:sz w:val="20"/>
              </w:rPr>
              <w:t>场景</w:t>
            </w:r>
          </w:p>
        </w:tc>
        <w:tc>
          <w:tcPr>
            <w:tcW w:type="dxa" w:w="1701"/>
            <w:vAlign w:val="center"/>
            <w:shd w:fill="E8EDF2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</w:pPr>
            <w:r>
              <w:rPr>
                <w:b/>
                <w:sz w:val="20"/>
              </w:rPr>
              <w:t>同步级数</w:t>
            </w:r>
          </w:p>
        </w:tc>
        <w:tc>
          <w:tcPr>
            <w:tcW w:type="dxa" w:w="2324"/>
            <w:vAlign w:val="center"/>
            <w:shd w:fill="E8EDF2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</w:pPr>
            <w:r>
              <w:rPr>
                <w:b/>
                <w:sz w:val="20"/>
              </w:rPr>
              <w:t>A 路Mbit/s</w:t>
            </w:r>
          </w:p>
        </w:tc>
        <w:tc>
          <w:tcPr>
            <w:tcW w:type="dxa" w:w="2324"/>
            <w:vAlign w:val="center"/>
            <w:shd w:fill="E8EDF2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</w:pPr>
            <w:r>
              <w:rPr>
                <w:b/>
                <w:sz w:val="20"/>
              </w:rPr>
              <w:t>B 路Mbit/s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正常比</w:t>
            </w:r>
          </w:p>
        </w:tc>
        <w:tc>
          <w:tcPr>
            <w:tcW w:type="dxa" w:w="170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  <w:jc w:val="center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32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  <w:jc w:val="center"/>
            </w:pPr>
            <w:r>
              <w:rPr>
                <w:b w:val="0"/>
                <w:sz w:val="20"/>
              </w:rPr>
              <w:t>1600.00</w:t>
            </w:r>
          </w:p>
        </w:tc>
        <w:tc>
          <w:tcPr>
            <w:tcW w:type="dxa" w:w="232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  <w:jc w:val="center"/>
            </w:pPr>
            <w:r>
              <w:rPr>
                <w:b w:val="0"/>
                <w:sz w:val="20"/>
              </w:rPr>
              <w:t>914.24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正常比</w:t>
            </w:r>
          </w:p>
        </w:tc>
        <w:tc>
          <w:tcPr>
            <w:tcW w:type="dxa" w:w="170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  <w:jc w:val="center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32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  <w:jc w:val="center"/>
            </w:pPr>
            <w:r>
              <w:rPr>
                <w:b w:val="0"/>
                <w:sz w:val="20"/>
              </w:rPr>
              <w:t>1600.00</w:t>
            </w:r>
          </w:p>
        </w:tc>
        <w:tc>
          <w:tcPr>
            <w:tcW w:type="dxa" w:w="232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  <w:jc w:val="center"/>
            </w:pPr>
            <w:r>
              <w:rPr>
                <w:b w:val="0"/>
                <w:sz w:val="20"/>
              </w:rPr>
              <w:t>914.24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ready仅开放20%</w:t>
            </w:r>
          </w:p>
        </w:tc>
        <w:tc>
          <w:tcPr>
            <w:tcW w:type="dxa" w:w="170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  <w:jc w:val="center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32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  <w:jc w:val="center"/>
            </w:pPr>
            <w:r>
              <w:rPr>
                <w:b w:val="0"/>
                <w:sz w:val="20"/>
              </w:rPr>
              <w:t>533.12</w:t>
            </w:r>
          </w:p>
        </w:tc>
        <w:tc>
          <w:tcPr>
            <w:tcW w:type="dxa" w:w="232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  <w:jc w:val="center"/>
            </w:pPr>
            <w:r>
              <w:rPr>
                <w:b w:val="0"/>
                <w:sz w:val="20"/>
              </w:rPr>
              <w:t>640.00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ready仅开放20%</w:t>
            </w:r>
          </w:p>
        </w:tc>
        <w:tc>
          <w:tcPr>
            <w:tcW w:type="dxa" w:w="170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  <w:jc w:val="center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32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  <w:jc w:val="center"/>
            </w:pPr>
            <w:r>
              <w:rPr>
                <w:b w:val="0"/>
                <w:sz w:val="20"/>
              </w:rPr>
              <w:t>533.12</w:t>
            </w:r>
          </w:p>
        </w:tc>
        <w:tc>
          <w:tcPr>
            <w:tcW w:type="dxa" w:w="232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  <w:jc w:val="center"/>
            </w:pPr>
            <w:r>
              <w:rPr>
                <w:b w:val="0"/>
                <w:sz w:val="20"/>
              </w:rPr>
              <w:t>640.00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额外读慢写快</w:t>
            </w:r>
          </w:p>
        </w:tc>
        <w:tc>
          <w:tcPr>
            <w:tcW w:type="dxa" w:w="170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  <w:jc w:val="center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32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  <w:jc w:val="center"/>
            </w:pPr>
            <w:r>
              <w:rPr>
                <w:b w:val="0"/>
                <w:sz w:val="20"/>
              </w:rPr>
              <w:t>695.52</w:t>
            </w:r>
          </w:p>
        </w:tc>
        <w:tc>
          <w:tcPr>
            <w:tcW w:type="dxa" w:w="232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  <w:jc w:val="center"/>
            </w:pPr>
            <w:r>
              <w:rPr>
                <w:b w:val="0"/>
                <w:sz w:val="20"/>
              </w:rPr>
              <w:t>640.00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额外读慢写快</w:t>
            </w:r>
          </w:p>
        </w:tc>
        <w:tc>
          <w:tcPr>
            <w:tcW w:type="dxa" w:w="170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  <w:jc w:val="center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32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  <w:jc w:val="center"/>
            </w:pPr>
            <w:r>
              <w:rPr>
                <w:b w:val="0"/>
                <w:sz w:val="20"/>
              </w:rPr>
              <w:t>695.52</w:t>
            </w:r>
          </w:p>
        </w:tc>
        <w:tc>
          <w:tcPr>
            <w:tcW w:type="dxa" w:w="232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  <w:jc w:val="center"/>
            </w:pPr>
            <w:r>
              <w:rPr>
                <w:b w:val="0"/>
                <w:sz w:val="20"/>
              </w:rPr>
              <w:t>640.00</w:t>
            </w:r>
          </w:p>
        </w:tc>
      </w:tr>
    </w:tbl>
    <w:p>
      <w:pPr>
        <w:spacing w:after="20"/>
      </w:pPr>
    </w:p>
    <w:p>
      <w:pPr>
        <w:widowControl/>
      </w:pPr>
      <w:r>
        <w:t>速率按预热后200 μs内成功读出的完整32位字计算，单位为十进制Mbit/s。正常比的A写/读周期为20/12 ns，B为35/10 ns，受写侧供数限制；背压场景每10个读周期仅2个开放，受可用读带宽限制。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969"/>
        <w:gridCol w:w="2608"/>
        <w:gridCol w:w="2608"/>
      </w:tblGrid>
      <w:tr>
        <w:trPr>
          <w:cantSplit/>
          <w:tblHeader/>
        </w:trPr>
        <w:tc>
          <w:tcPr>
            <w:tcW w:type="dxa" w:w="3969"/>
            <w:vAlign w:val="center"/>
            <w:shd w:fill="E8EDF2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</w:pPr>
            <w:r>
              <w:rPr>
                <w:b/>
                <w:sz w:val="20"/>
              </w:rPr>
              <w:t>测量</w:t>
            </w:r>
          </w:p>
        </w:tc>
        <w:tc>
          <w:tcPr>
            <w:tcW w:type="dxa" w:w="2608"/>
            <w:vAlign w:val="center"/>
            <w:shd w:fill="E8EDF2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  <w:jc w:val="center"/>
            </w:pPr>
            <w:r>
              <w:rPr>
                <w:b/>
                <w:sz w:val="20"/>
              </w:rPr>
              <w:t>2级 A/B ns</w:t>
            </w:r>
          </w:p>
        </w:tc>
        <w:tc>
          <w:tcPr>
            <w:tcW w:type="dxa" w:w="2608"/>
            <w:vAlign w:val="center"/>
            <w:shd w:fill="E8EDF2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  <w:jc w:val="center"/>
            </w:pPr>
            <w:r>
              <w:rPr>
                <w:b/>
                <w:sz w:val="20"/>
              </w:rPr>
              <w:t>3级 A/B ns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正常比首项写接受到读接受</w:t>
            </w:r>
          </w:p>
        </w:tc>
        <w:tc>
          <w:tcPr>
            <w:tcW w:type="dxa" w:w="260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  <w:jc w:val="center"/>
            </w:pPr>
            <w:r>
              <w:rPr>
                <w:b w:val="0"/>
                <w:sz w:val="20"/>
              </w:rPr>
              <w:t>44 / 32.5</w:t>
            </w:r>
          </w:p>
        </w:tc>
        <w:tc>
          <w:tcPr>
            <w:tcW w:type="dxa" w:w="260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  <w:jc w:val="center"/>
            </w:pPr>
            <w:r>
              <w:rPr>
                <w:b w:val="0"/>
                <w:sz w:val="20"/>
              </w:rPr>
              <w:t>56 / 42.5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正常比读出一项到full撤销</w:t>
            </w:r>
          </w:p>
        </w:tc>
        <w:tc>
          <w:tcPr>
            <w:tcW w:type="dxa" w:w="260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  <w:jc w:val="center"/>
            </w:pPr>
            <w:r>
              <w:rPr>
                <w:b w:val="0"/>
                <w:sz w:val="20"/>
              </w:rPr>
              <w:t>48 / 77.5</w:t>
            </w:r>
          </w:p>
        </w:tc>
        <w:tc>
          <w:tcPr>
            <w:tcW w:type="dxa" w:w="260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  <w:jc w:val="center"/>
            </w:pPr>
            <w:r>
              <w:rPr>
                <w:b w:val="0"/>
                <w:sz w:val="20"/>
              </w:rPr>
              <w:t>68 / 112.5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额外比首项写接受到读接受</w:t>
            </w:r>
          </w:p>
        </w:tc>
        <w:tc>
          <w:tcPr>
            <w:tcW w:type="dxa" w:w="260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  <w:jc w:val="center"/>
            </w:pPr>
            <w:r>
              <w:rPr>
                <w:b w:val="0"/>
                <w:sz w:val="20"/>
              </w:rPr>
              <w:t>148 / 160</w:t>
            </w:r>
          </w:p>
        </w:tc>
        <w:tc>
          <w:tcPr>
            <w:tcW w:type="dxa" w:w="260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  <w:jc w:val="center"/>
            </w:pPr>
            <w:r>
              <w:rPr>
                <w:b w:val="0"/>
                <w:sz w:val="20"/>
              </w:rPr>
              <w:t>194 / 210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额外比读出一项到full撤销</w:t>
            </w:r>
          </w:p>
        </w:tc>
        <w:tc>
          <w:tcPr>
            <w:tcW w:type="dxa" w:w="260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  <w:jc w:val="center"/>
            </w:pPr>
            <w:r>
              <w:rPr>
                <w:b w:val="0"/>
                <w:sz w:val="20"/>
              </w:rPr>
              <w:t>26 / 30</w:t>
            </w:r>
          </w:p>
        </w:tc>
        <w:tc>
          <w:tcPr>
            <w:tcW w:type="dxa" w:w="260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  <w:jc w:val="center"/>
            </w:pPr>
            <w:r>
              <w:rPr>
                <w:b w:val="0"/>
                <w:sz w:val="20"/>
              </w:rPr>
              <w:t>36 / 44</w:t>
            </w:r>
          </w:p>
        </w:tc>
      </w:tr>
    </w:tbl>
    <w:p>
      <w:pPr>
        <w:spacing w:after="20"/>
      </w:pPr>
    </w:p>
    <w:p>
      <w:pPr>
        <w:widowControl/>
      </w:pPr>
      <w:r>
        <w:t>额外场景的A写/读周期为10/46 ns、B为14/50 ns，使读侧成为瓶颈。两种同步级数在足够长的连续窗口内吞吐接近，但首次可读和满撤销的等待不同。窗口完整字取整也会使实测速率略低于理想值。</w:t>
      </w:r>
    </w:p>
    <w:p>
      <w:pPr>
        <w:widowControl/>
      </w:pPr>
      <w:r>
        <w:t>背压窗口A停顿13335/16667个读边沿，约80.01%；B停顿16000/20000，80%。统计口径和实际接受数由独立检查器核对。所有表格都是给定相位的行为测量，不是任意相位延迟上下界。</w:t>
      </w:r>
    </w:p>
    <w:p>
      <w:r>
        <w:br w:type="page"/>
      </w:r>
    </w:p>
    <w:p>
      <w:pPr>
        <w:pStyle w:val="Heading1"/>
      </w:pPr>
      <w:r>
        <w:t>5 总结</w:t>
      </w:r>
    </w:p>
    <w:p>
      <w:pPr>
        <w:widowControl/>
      </w:pPr>
      <w:r>
        <w:t>双通道设计完成了独立存储、保护、阈值、背压与统计，监控通过源域保持和确认协议统一发布。定向、随机、多相位及复位检查共同验证了数据顺序和控制规则；负向注错确认了检查器能够检测真实失配。</w:t>
      </w:r>
    </w:p>
    <w:p>
      <w:pPr>
        <w:widowControl/>
      </w:pPr>
      <w:r>
        <w:t>两级与三级同步器均通过功能验证。三级增加稳定时间并付出额外寄存器和指针传播延迟；长窗口稳态吞吐主要由较慢一侧和ready可用比例决定。可靠性提升应依据器件模型和实际稳定时间解释，不能用RTL仿真的正确结果替代MTBF分析。</w:t>
      </w:r>
    </w:p>
    <w:p>
      <w:pPr>
        <w:widowControl/>
      </w:pPr>
      <w:r>
        <w:t>目标实现识别了两块独立ERAM，并生成两种时序视图。完整接口视图暴露了IO相关违例，说明RTL参考激励与实际可实现接口频率需要分开讨论。功耗缺少厂商模型，PPA表保留真实缺项，不作零功耗或物理签核结论。</w:t>
      </w:r>
    </w:p>
    <w:p>
      <w:pPr>
        <w:widowControl/>
      </w:pPr>
      <w:r>
        <w:t>后续交付需要由小组成员复核关键算法、波形与报告，填写真实成员信息和分工，并在另一个干净环境按手册复现。当前自动运行结果不代表这些人工环节已经发生。</w:t>
      </w:r>
    </w:p>
    <w:p>
      <w:pPr>
        <w:widowControl/>
      </w:pPr>
      <w:r>
        <w:t>本阶段已在同一台计算机的新建英文目录复制当前源码，重新编译并运行指定三级配置和完整10组回归，均通过。复制前后源码哈希一致，日志保存在reports/reproduction。该结果验证脚本可从干净目录运行，尚不等同另一位成员在独立环境人工复现。</w:t>
      </w:r>
    </w:p>
    <w:p>
      <w:pPr>
        <w:pStyle w:val="Heading2"/>
      </w:pPr>
      <w:r>
        <w:t>5.1 软件复现顺序</w:t>
      </w:r>
    </w:p>
    <w:p>
      <w:pPr>
        <w:spacing w:after="20" w:line="252" w:lineRule="auto"/>
      </w:pPr>
      <w:r>
        <w:rPr>
          <w:rFonts w:ascii="Consolas" w:hAnsi="Consolas"/>
          <w:sz w:val="19"/>
        </w:rPr>
        <w:t>powershell -File sim/run_dual.ps1</w:t>
      </w:r>
    </w:p>
    <w:p>
      <w:pPr>
        <w:spacing w:after="20" w:line="252" w:lineRule="auto"/>
      </w:pPr>
      <w:r>
        <w:rPr>
          <w:rFonts w:ascii="Consolas" w:hAnsi="Consolas"/>
          <w:sz w:val="19"/>
        </w:rPr>
        <w:t>powershell -File sim/regress_dual.ps1</w:t>
      </w:r>
    </w:p>
    <w:p>
      <w:pPr>
        <w:spacing w:after="20" w:line="252" w:lineRule="auto"/>
      </w:pPr>
      <w:r>
        <w:rPr>
          <w:rFonts w:ascii="Consolas" w:hAnsi="Consolas"/>
          <w:sz w:val="19"/>
        </w:rPr>
        <w:t>python tools/run_native_coverage.py</w:t>
      </w:r>
    </w:p>
    <w:p>
      <w:pPr>
        <w:spacing w:after="20" w:line="252" w:lineRule="auto"/>
      </w:pPr>
      <w:r>
        <w:rPr>
          <w:rFonts w:ascii="Consolas" w:hAnsi="Consolas"/>
          <w:sz w:val="19"/>
        </w:rPr>
        <w:t>python tools/report_native_coverage.py</w:t>
      </w:r>
    </w:p>
    <w:p>
      <w:pPr>
        <w:spacing w:after="20" w:line="252" w:lineRule="auto"/>
      </w:pPr>
      <w:r>
        <w:rPr>
          <w:rFonts w:ascii="Consolas" w:hAnsi="Consolas"/>
          <w:sz w:val="19"/>
        </w:rPr>
        <w:t>python tools/run_synthesis.py</w:t>
      </w:r>
    </w:p>
    <w:p>
      <w:pPr>
        <w:spacing w:after="20" w:line="252" w:lineRule="auto"/>
      </w:pPr>
      <w:r>
        <w:rPr>
          <w:rFonts w:ascii="Consolas" w:hAnsi="Consolas"/>
          <w:sz w:val="19"/>
        </w:rPr>
        <w:t>python tools/run_performance.py</w:t>
      </w:r>
    </w:p>
    <w:p>
      <w:pPr>
        <w:spacing w:after="20" w:line="252" w:lineRule="auto"/>
      </w:pPr>
      <w:r>
        <w:rPr>
          <w:rFonts w:ascii="Consolas" w:hAnsi="Consolas"/>
          <w:sz w:val="19"/>
        </w:rPr>
        <w:t>python tools/verify_eval_wrapper.py</w:t>
      </w:r>
    </w:p>
    <w:p>
      <w:pPr>
        <w:spacing w:after="20" w:line="252" w:lineRule="auto"/>
      </w:pPr>
      <w:r>
        <w:rPr>
          <w:rFonts w:ascii="Consolas" w:hAnsi="Consolas"/>
          <w:sz w:val="19"/>
        </w:rPr>
        <w:t>python tools/run_td.py</w:t>
      </w:r>
    </w:p>
    <w:p>
      <w:pPr>
        <w:spacing w:after="20" w:line="252" w:lineRule="auto"/>
      </w:pPr>
      <w:r>
        <w:rPr>
          <w:rFonts w:ascii="Consolas" w:hAnsi="Consolas"/>
          <w:sz w:val="19"/>
        </w:rPr>
        <w:t>python tools/summarize_td.py</w:t>
      </w:r>
    </w:p>
    <w:p>
      <w:pPr>
        <w:spacing w:after="20" w:line="252" w:lineRule="auto"/>
      </w:pPr>
      <w:r>
        <w:rPr>
          <w:rFonts w:ascii="Consolas" w:hAnsi="Consolas"/>
          <w:sz w:val="19"/>
        </w:rPr>
        <w:t>python tools/probe_power.py</w:t>
      </w:r>
    </w:p>
    <w:p>
      <w:pPr>
        <w:spacing w:after="20" w:line="252" w:lineRule="auto"/>
      </w:pPr>
      <w:r>
        <w:rPr>
          <w:rFonts w:ascii="Consolas" w:hAnsi="Consolas"/>
          <w:sz w:val="19"/>
        </w:rPr>
        <w:t>python tools/reproduce_clean.py</w:t>
      </w:r>
    </w:p>
    <w:p>
      <w:pPr>
        <w:spacing w:after="20" w:line="252" w:lineRule="auto"/>
      </w:pPr>
      <w:r>
        <w:rPr>
          <w:rFonts w:ascii="Consolas" w:hAnsi="Consolas"/>
          <w:sz w:val="19"/>
        </w:rPr>
        <w:t>python tools/report_figures.py</w:t>
      </w:r>
    </w:p>
    <w:p>
      <w:pPr>
        <w:spacing w:after="160" w:line="252" w:lineRule="auto"/>
      </w:pPr>
      <w:r>
        <w:rPr>
          <w:rFonts w:ascii="Consolas" w:hAnsi="Consolas"/>
          <w:sz w:val="19"/>
        </w:rPr>
        <w:t>python tools/build_course_report.py</w:t>
      </w:r>
    </w:p>
    <w:p>
      <w:pPr>
        <w:widowControl/>
      </w:pPr>
      <w:r>
        <w:t>工具安装路径、英文构建目录及参数覆盖方法见docs/ANALYSIS.md与docs/TARGET_ANALYSIS.md。完整原生日志和数据库保留在reports中；第三方工具二进制、大网表和大波形不提交仓库。</w:t>
      </w:r>
    </w:p>
    <w:p>
      <w:r>
        <w:br w:type="page"/>
      </w:r>
    </w:p>
    <w:p>
      <w:pPr>
        <w:pStyle w:val="Heading2"/>
      </w:pPr>
      <w:r>
        <w:t>5.2 成员信息与实际分工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31"/>
        <w:gridCol w:w="2098"/>
        <w:gridCol w:w="3345"/>
        <w:gridCol w:w="2211"/>
      </w:tblGrid>
      <w:tr>
        <w:trPr>
          <w:cantSplit/>
          <w:tblHeader/>
        </w:trPr>
        <w:tc>
          <w:tcPr>
            <w:tcW w:type="dxa" w:w="1531"/>
            <w:vAlign w:val="center"/>
            <w:shd w:fill="E8EDF2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</w:pPr>
            <w:r>
              <w:rPr>
                <w:b/>
                <w:sz w:val="20"/>
              </w:rPr>
              <w:t>姓名</w:t>
            </w:r>
          </w:p>
        </w:tc>
        <w:tc>
          <w:tcPr>
            <w:tcW w:type="dxa" w:w="2098"/>
            <w:vAlign w:val="center"/>
            <w:shd w:fill="E8EDF2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</w:pPr>
            <w:r>
              <w:rPr>
                <w:b/>
                <w:sz w:val="20"/>
              </w:rPr>
              <w:t>学号</w:t>
            </w:r>
          </w:p>
        </w:tc>
        <w:tc>
          <w:tcPr>
            <w:tcW w:type="dxa" w:w="3345"/>
            <w:vAlign w:val="center"/>
            <w:shd w:fill="E8EDF2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</w:pPr>
            <w:r>
              <w:rPr>
                <w:b/>
                <w:sz w:val="20"/>
              </w:rPr>
              <w:t>实际完成工作</w:t>
            </w:r>
          </w:p>
        </w:tc>
        <w:tc>
          <w:tcPr>
            <w:tcW w:type="dxa" w:w="2211"/>
            <w:vAlign w:val="center"/>
            <w:shd w:fill="E8EDF2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</w:pPr>
            <w:r>
              <w:rPr>
                <w:b/>
                <w:sz w:val="20"/>
              </w:rPr>
              <w:t>交叉复核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</w:r>
          </w:p>
        </w:tc>
        <w:tc>
          <w:tcPr>
            <w:tcW w:type="dxa" w:w="209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</w:r>
          </w:p>
        </w:tc>
        <w:tc>
          <w:tcPr>
            <w:tcW w:type="dxa" w:w="334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</w:r>
          </w:p>
        </w:tc>
        <w:tc>
          <w:tcPr>
            <w:tcW w:type="dxa" w:w="221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</w:r>
          </w:p>
        </w:tc>
        <w:tc>
          <w:tcPr>
            <w:tcW w:type="dxa" w:w="209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</w:r>
          </w:p>
        </w:tc>
        <w:tc>
          <w:tcPr>
            <w:tcW w:type="dxa" w:w="334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</w:r>
          </w:p>
        </w:tc>
        <w:tc>
          <w:tcPr>
            <w:tcW w:type="dxa" w:w="221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</w:r>
          </w:p>
        </w:tc>
        <w:tc>
          <w:tcPr>
            <w:tcW w:type="dxa" w:w="209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</w:r>
          </w:p>
        </w:tc>
        <w:tc>
          <w:tcPr>
            <w:tcW w:type="dxa" w:w="334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</w:r>
          </w:p>
        </w:tc>
        <w:tc>
          <w:tcPr>
            <w:tcW w:type="dxa" w:w="221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</w:r>
          </w:p>
        </w:tc>
      </w:tr>
    </w:tbl>
    <w:p>
      <w:pPr>
        <w:spacing w:after="20"/>
      </w:pPr>
    </w:p>
    <w:p>
      <w:pPr>
        <w:widowControl/>
      </w:pPr>
    </w:p>
    <w:p>
      <w:r>
        <w:br w:type="page"/>
      </w:r>
    </w:p>
    <w:p>
      <w:pPr>
        <w:pStyle w:val="Heading1"/>
      </w:pPr>
      <w:r>
        <w:t>6 参考文献</w:t>
      </w:r>
    </w:p>
    <w:p>
      <w:pPr>
        <w:pStyle w:val="Heading2"/>
      </w:pPr>
      <w:r>
        <w:t>6.1 参考资料</w:t>
      </w:r>
    </w:p>
    <w:p>
      <w:pPr>
        <w:widowControl/>
      </w:pPr>
      <w:r>
        <w:t>[1] 硬件描述语言 课设题目27 课程设计任务书 第1至4页 用户提供。</w:t>
      </w:r>
    </w:p>
    <w:p>
      <w:pPr>
        <w:widowControl/>
      </w:pPr>
      <w:r>
        <w:t>[2] Texas Instruments. Metastability Performance of Clocked FIFOs. SCZA004A, 1996. https://www.ti.com/lit/an/scza004a/scza004a.pdf</w:t>
      </w:r>
    </w:p>
    <w:p>
      <w:pPr>
        <w:widowControl/>
      </w:pPr>
      <w:r>
        <w:t>[3] Ran Ginosar. Metastability and Synchronizers A Tutorial. IEEE Design and Test, 2011. https://webee.technion.ac.il/~ran/papers/MetastabilitySynchronizersTutorialIEEEDT2011.pdf</w:t>
      </w:r>
    </w:p>
    <w:p>
      <w:pPr>
        <w:widowControl/>
      </w:pPr>
      <w:r>
        <w:t>[4] 上海安路信息科技股份有限公司. SWUG105 TCL Command User Guide, 2024年11月；SWUG200 Timing Constraints User Guide；SWUG201 Timing Tools User Guide。随TD6.2.1安装包提供。https://www.anlogic.com/support/tools-downloads</w:t>
      </w:r>
    </w:p>
    <w:p>
      <w:pPr>
        <w:widowControl/>
      </w:pPr>
      <w:r>
        <w:t>[5] Verilator. Coverage Analysis. https://verilator.org/guide/latest/simulating.html#coverage-analysis</w:t>
      </w:r>
    </w:p>
    <w:p>
      <w:pPr>
        <w:widowControl/>
      </w:pPr>
      <w:r>
        <w:t>[6] 本项目源代码、原始实验日志与版本记录。https://github.com/browerbayersong/Dual-Port-Asynchronized-FIFO-RAM</w:t>
      </w:r>
    </w:p>
    <w:p>
      <w:pPr>
        <w:pStyle w:val="Heading2"/>
      </w:pPr>
      <w:r>
        <w:t>6.2 AI 辅助记录</w:t>
      </w:r>
    </w:p>
    <w:p>
      <w:pPr>
        <w:widowControl/>
      </w:pPr>
      <w:r>
        <w:t>本项目使用AI协助规格拆分、RTL、参考模型、运行脚本、分析和文档整理。实际提示词包括“我们要做第一个题目，分析分析该怎么做”“列个任务清单和操作手册上传至此仓库”“做吧”“未指定，先做通用综合”，以及后续核对上板范围的提问。详细阶段记录保存在docs/AI_ASSISTANCE.md。</w:t>
      </w:r>
    </w:p>
    <w:p>
      <w:pPr>
        <w:widowControl/>
      </w:pPr>
      <w:r>
        <w:t>采用输出经过自动编译、队列检查、多配置回归、覆盖率、综合和时序工具运行核对。遇到工具忽略覆盖率、约束循环未执行、功耗库缺失等问题时，保留证据并调整方法。人工复核和教师验收情况由成员按实际完成情况填写。</w:t>
      </w:r>
    </w:p>
    <w:sectPr w:rsidR="00FC693F" w:rsidRPr="0006063C" w:rsidSect="00034616">
      <w:footerReference w:type="default" r:id="rId11"/>
      <w:pgSz w:w="11906" w:h="16838"/>
      <w:pgMar w:top="1276" w:right="1361" w:bottom="1247" w:left="1361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</w:r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40"/>
    </w:pPr>
    <w:rPr>
      <w:rFonts w:ascii="Times New Roman" w:hAnsi="Times New Roman" w:eastAsia="宋体"/>
      <w:i w:val="0"/>
      <w:color w:val="00000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00"/>
      <w:outlineLvl w:val="0"/>
    </w:pPr>
    <w:rPr>
      <w:rFonts w:ascii="Times New Roman" w:hAnsi="Times New Roman" w:eastAsia="黑体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200"/>
      <w:outlineLvl w:val="1"/>
    </w:pPr>
    <w:rPr>
      <w:rFonts w:ascii="Times New Roman" w:hAnsi="Times New Roman" w:eastAsia="黑体"/>
      <w:b/>
      <w:bCs/>
      <w:i w:val="0"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Times New Roman" w:hAnsi="Times New Roman" w:eastAsia="黑体"/>
      <w:b/>
      <w:i w:val="0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黑体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/>
      <w:bCs/>
      <w:i w:val="0"/>
      <w:color w:val="000000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双异步 FIFO 系统设计与验证</dc:title>
  <dc:subject>硬件描述语言课程设计 题目1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