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Demo markdown</w:t>
      </w:r>
    </w:p>
    <w:p w14:paraId="00000002">
      <w:pPr>
        <w:rPr/>
      </w:pPr>
      <w:r>
        <w:rPr/>
        <w:t xml:space="preserve">Unibrowser renders Markdown in the document viewer.</w:t>
      </w:r>
    </w:p>
    <w:p w14:paraId="00000003">
      <w:pPr>
        <w:rPr/>
      </w:pPr>
      <w:r>
        <w:rPr/>
        <w:t xml:space="preserve">Render 1 block quotes use a pale blue panel and a left accent bar on the paper card.</w:t>
      </w:r>
    </w:p>
    <w:p w14:paraId="00000004">
      <w:pPr>
        <w:rPr/>
      </w:pPr>
      <w:r>
        <w:rPr/>
        <w:t xml:space="preserve">Bold and italic</w:t>
      </w:r>
    </w:p>
    <w:p w14:paraId="00000005">
      <w:pPr>
        <w:rPr/>
      </w:pPr>
      <w:r>
        <w:rPr/>
        <w:t xml:space="preserve">Architecture (link may not resolve in preview; open from repo)</w:t>
      </w:r>
    </w:p>
    <w:p w14:paraId="00000006">
      <w:pPr>
        <w:rPr/>
        <w:pStyle w:val="Heading2"/>
      </w:pPr>
      <w:r>
        <w:rPr/>
        <w:t xml:space="preserve">Next steps</w:t>
      </w:r>
    </w:p>
    <w:p w14:paraId="00000007">
      <w:pPr>
        <w:rPr/>
      </w:pPr>
      <w:r>
        <w:rPr/>
        <w:t xml:space="preserve">Open sample.unibrow for the native project format.</w:t>
      </w:r>
    </w:p>
    <w:sectPr>
      <w:pgSz w:w="11906" w:h="16838"/>
      <w:pgMar w:top="1985" w:right="1701" w:bottom="1701" w:left="1701" w:header="851" w:footer="992" w:gutter="0"/>
      <w:cols w:space="425" w:num="1"/>
    </w:sectPr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905000" cy="1428750"/>
            <wp:docPr id="1" name="sample.png" descr="Demo pack image"/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