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320"/>
      </w:pPr>
      <w:r>
        <w:rPr>
          <w:rFonts w:ascii="Times New Roman" w:hAnsi="Times New Roman" w:cs="Times New Roman"/>
          <w:sz w:val="32"/>
          <w:sz-cs w:val="32"/>
          <w:b/>
          <w:spacing w:val="0"/>
          <w:color w:val="0E121D"/>
        </w:rPr>
        <w:t xml:space="preserve">Statistical Inference Project Report</w:t>
      </w:r>
      <w:r>
        <w:rPr>
          <w:rFonts w:ascii="Times New Roman" w:hAnsi="Times New Roman" w:cs="Times New Roman"/>
          <w:sz w:val="32"/>
          <w:sz-cs w:val="32"/>
          <w:spacing w:val="0"/>
          <w:color w:val="0E121D"/>
        </w:rPr>
        <w:t xml:space="preserve"/>
      </w:r>
    </w:p>
    <w:p>
      <w:pPr>
        <w:jc w:val="center"/>
        <w:spacing w:after="255"/>
      </w:pPr>
      <w:r>
        <w:rPr>
          <w:rFonts w:ascii="Times New Roman" w:hAnsi="Times New Roman" w:cs="Times New Roman"/>
          <w:sz w:val="64"/>
          <w:sz-cs w:val="64"/>
          <w:b/>
          <w:spacing w:val="0"/>
          <w:color w:val="0D121F"/>
        </w:rPr>
        <w:t xml:space="preserve">Digital Payments and UPI in India:</w:t>
        <w:br/>
        <w:t xml:space="preserve">Structural Changes or Just Growth?</w:t>
      </w:r>
    </w:p>
    <w:p>
      <w:pPr>
        <w:jc w:val="center"/>
        <w:spacing w:after="293"/>
      </w:pPr>
      <w:r>
        <w:rPr>
          <w:rFonts w:ascii="Times New Roman" w:hAnsi="Times New Roman" w:cs="Times New Roman"/>
          <w:sz w:val="29"/>
          <w:sz-cs w:val="29"/>
          <w:spacing w:val="0"/>
          <w:color w:val="2A3140"/>
        </w:rPr>
        <w:t xml:space="preserve">Prepared on April 16, 2026</w:t>
      </w:r>
    </w:p>
    <w:p>
      <w:pPr>
        <w:jc w:val="center"/>
        <w:spacing w:after="293"/>
      </w:pPr>
      <w:r>
        <w:rPr>
          <w:rFonts w:ascii="Times New Roman" w:hAnsi="Times New Roman" w:cs="Times New Roman"/>
          <w:sz w:val="29"/>
          <w:sz-cs w:val="29"/>
          <w:spacing w:val="0"/>
          <w:color w:val="2A3140"/>
        </w:rPr>
        <w:t xml:space="preserve">Author(s): Nitin Ekka</w:t>
      </w:r>
    </w:p>
    <w:p>
      <w:pPr>
        <w:jc w:val="center"/>
        <w:spacing w:after="293"/>
      </w:pPr>
      <w:r>
        <w:rPr>
          <w:rFonts w:ascii="Times New Roman" w:hAnsi="Times New Roman" w:cs="Times New Roman"/>
          <w:sz w:val="29"/>
          <w:sz-cs w:val="29"/>
          <w:spacing w:val="0"/>
          <w:color w:val="2A3140"/>
        </w:rPr>
        <w:t xml:space="preserve">Roll Number(s): 22MA10039</w:t>
      </w:r>
    </w:p>
    <w:p>
      <w:pPr>
        <w:jc w:val="center"/>
        <w:spacing w:after="293"/>
      </w:pPr>
      <w:r>
        <w:rPr>
          <w:rFonts w:ascii="Times New Roman" w:hAnsi="Times New Roman" w:cs="Times New Roman"/>
          <w:sz w:val="29"/>
          <w:sz-cs w:val="29"/>
          <w:spacing w:val="0"/>
          <w:color w:val="2A3140"/>
        </w:rPr>
        <w:t xml:space="preserve">Course / Department: BS in Mathematics and Computing</w:t>
      </w:r>
    </w:p>
    <w:p>
      <w:pPr>
        <w:spacing w:after="170"/>
      </w:pPr>
      <w:r>
        <w:rPr>
          <w:rFonts w:ascii="Times New Roman" w:hAnsi="Times New Roman" w:cs="Times New Roman"/>
          <w:sz w:val="42"/>
          <w:sz-cs w:val="42"/>
          <w:b/>
          <w:spacing w:val="0"/>
          <w:color w:val="0D121F"/>
        </w:rPr>
        <w:t xml:space="preserve">Abstract</w:t>
      </w:r>
    </w:p>
    <w:p>
      <w:pPr>
        <w:jc w:val="both"/>
        <w:spacing w:after="320"/>
      </w:pPr>
      <w:r>
        <w:rPr>
          <w:rFonts w:ascii="Times New Roman" w:hAnsi="Times New Roman" w:cs="Times New Roman"/>
          <w:sz w:val="32"/>
          <w:sz-cs w:val="32"/>
          <w:spacing w:val="0"/>
          <w:color w:val="0E121D"/>
        </w:rPr>
        <w:t xml:space="preserve">This report evaluates whether UPI growth in India reflects simple continued expansion or a change in the underlying growth regime. Using the official RBI Payment System Indicators archive as the primary monthly source, plus a validated daily machine-readable payments panel for high-frequency robustness, the analysis compares average monthly growth before January 2022 and from January 2022 onward. The evidence shows a clear structural moderation in monthly percentage growth despite continued expansion in levels. Mean monthly UPI volume growth declines from 7.28% to 3.65%, while mean monthly value growth declines from 6.80% to 2.81%. Seasonality-adjusted regressions with HAC standard errors preserve this conclusion. Daily data additionally reveal meaningful serial dependence, justifying robust inference. The overall interpretation is market maturation on a very large base, not deterioration in usage.</w:t>
      </w:r>
      <w:r>
        <w:rPr>
          <w:rFonts w:ascii="Times New Roman" w:hAnsi="Times New Roman" w:cs="Times New Roman"/>
          <w:sz w:val="32"/>
          <w:sz-cs w:val="32"/>
          <w:spacing w:val="0"/>
          <w:color w:val="0E121D"/>
        </w:rPr>
        <w:t xml:space="preserve"/>
      </w:r>
    </w:p>
    <w:p>
      <w:pPr>
        <w:spacing w:after="170"/>
      </w:pPr>
      <w:r>
        <w:rPr>
          <w:rFonts w:ascii="Times New Roman" w:hAnsi="Times New Roman" w:cs="Times New Roman"/>
          <w:sz w:val="42"/>
          <w:sz-cs w:val="42"/>
          <w:b/>
          <w:spacing w:val="0"/>
          <w:color w:val="0D121F"/>
        </w:rPr>
        <w:t xml:space="preserve">1. Introduction</w:t>
      </w:r>
    </w:p>
    <w:p>
      <w:pPr>
        <w:jc w:val="both"/>
        <w:spacing w:after="320"/>
      </w:pPr>
      <w:r>
        <w:rPr>
          <w:rFonts w:ascii="Times New Roman" w:hAnsi="Times New Roman" w:cs="Times New Roman"/>
          <w:sz w:val="32"/>
          <w:sz-cs w:val="32"/>
          <w:spacing w:val="0"/>
          <w:color w:val="0E121D"/>
        </w:rPr>
        <w:t xml:space="preserve">UPI has become the dominant retail digital payments rail in India. The practical question for this project is whether the system is still in a rapid diffusion phase or has moved into a maturity phase where transaction levels continue to rise but percentage growth is lower. That distinction matters for infrastructure sizing, monitoring, and fraud-risk management because a smaller growth rate on a much larger base may still imply heavier absolute load.</w:t>
      </w:r>
    </w:p>
    <w:p>
      <w:pPr>
        <w:spacing w:after="170"/>
      </w:pPr>
      <w:r>
        <w:rPr>
          <w:rFonts w:ascii="Times New Roman" w:hAnsi="Times New Roman" w:cs="Times New Roman"/>
          <w:sz w:val="42"/>
          <w:sz-cs w:val="42"/>
          <w:b/>
          <w:spacing w:val="0"/>
          <w:color w:val="0D121F"/>
        </w:rPr>
        <w:t xml:space="preserve">2. Data and Source Validation</w:t>
      </w:r>
    </w:p>
    <w:p>
      <w:pPr>
        <w:jc w:val="both"/>
        <w:spacing w:after="320"/>
      </w:pPr>
      <w:r>
        <w:rPr>
          <w:rFonts w:ascii="Times New Roman" w:hAnsi="Times New Roman" w:cs="Times New Roman"/>
          <w:sz w:val="32"/>
          <w:sz-cs w:val="32"/>
          <w:spacing w:val="0"/>
          <w:color w:val="0E121D"/>
        </w:rPr>
        <w:t xml:space="preserve">The monthly backbone of the analysis comes from the official RBI PSI archive. Daily observations come from the machine-readable RBI-style datastore and are deduplicated before aggregation. In overlapping months from 2021-06 to 2025-07, the daily aggregation matches the official RBI monthly totals with mean absolute percentage differences of 0.000001% for volume and 0.000019% for value. This validation step is critical because it lets the daily data be used for robustness rather than as a substitute for the primary official source.</w:t>
      </w:r>
    </w:p>
    <w:p>
      <w:pPr>
        <w:jc w:val="both"/>
        <w:ind w:left="720" w:first-line="-720"/>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Primary monthly sample for inference: 2020-06 to 2025-07</w:t>
      </w:r>
    </w:p>
    <w:p>
      <w:pPr>
        <w:jc w:val="both"/>
        <w:ind w:left="720" w:first-line="-720"/>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Official RBI monthly archive available through: 2025-12</w:t>
      </w:r>
    </w:p>
    <w:p>
      <w:pPr>
        <w:jc w:val="both"/>
        <w:ind w:left="720" w:first-line="-720"/>
      </w:pPr>
      <w:r>
        <w:rPr>
          <w:rFonts w:ascii="Times New Roman" w:hAnsi="Times New Roman" w:cs="Times New Roman"/>
          <w:sz w:val="32"/>
          <w:sz-cs w:val="32"/>
          <w:color w:val="0E121D"/>
        </w:rPr>
        <w:t xml:space="preserve"/>
        <w:tab/>
        <w:t xml:space="preserve">•</w:t>
        <w:tab/>
        <w:t xml:space="preserve"/>
      </w:r>
      <w:r>
        <w:rPr>
          <w:rFonts w:ascii="Times New Roman" w:hAnsi="Times New Roman" w:cs="Times New Roman"/>
          <w:sz w:val="32"/>
          <w:sz-cs w:val="32"/>
          <w:spacing w:val="0"/>
          <w:color w:val="0E121D"/>
        </w:rPr>
        <w:t xml:space="preserve">Daily panel coverage: 2020-06-01 to 2025-07-31</w:t>
      </w:r>
    </w:p>
    <w:p>
      <w:pPr>
        <w:spacing w:after="170"/>
      </w:pPr>
      <w:r>
        <w:rPr>
          <w:rFonts w:ascii="Times New Roman" w:hAnsi="Times New Roman" w:cs="Times New Roman"/>
          <w:sz w:val="42"/>
          <w:sz-cs w:val="42"/>
          <w:b/>
          <w:spacing w:val="0"/>
          <w:color w:val="0D121F"/>
        </w:rPr>
        <w:t xml:space="preserve">3. Empirical Design</w:t>
      </w:r>
    </w:p>
    <w:p>
      <w:pPr>
        <w:jc w:val="both"/>
        <w:spacing w:after="320"/>
      </w:pPr>
      <w:r>
        <w:rPr>
          <w:rFonts w:ascii="Times New Roman" w:hAnsi="Times New Roman" w:cs="Times New Roman"/>
          <w:sz w:val="32"/>
          <w:sz-cs w:val="32"/>
          <w:spacing w:val="0"/>
          <w:color w:val="0E121D"/>
        </w:rPr>
        <w:t xml:space="preserve">The central estimation target is the mean monthly growth rate of UPI volume and value in two periods: pre-2022 and 2022 onward. The analysis reports bootstrap confidence intervals, Welch unequal-variance t-tests, and Mann-Whitney tests to avoid relying on strict normality. Seasonality is handled with month dummies, and regression inference uses HAC standard errors because payment series are serially correlated.</w:t>
      </w:r>
    </w:p>
    <w:p>
      <w:pPr>
        <w:jc w:val="both"/>
        <w:spacing w:after="320"/>
      </w:pPr>
      <w:r>
        <w:rPr>
          <w:rFonts w:ascii="Times New Roman" w:hAnsi="Times New Roman" w:cs="Times New Roman"/>
          <w:sz w:val="32"/>
          <w:sz-cs w:val="32"/>
          <w:spacing w:val="0"/>
          <w:color w:val="0E121D"/>
        </w:rPr>
        <w:t xml:space="preserve">A supplementary trend-plus-festival specification tests whether October to December months are unusually high after controlling for a strong upward time trend. Annualised averages of monthly growth are reported as a low-frequency robustness check because they are closer to independent observations than raw monthly growth rates.</w:t>
      </w:r>
    </w:p>
    <w:p>
      <w:pPr>
        <w:spacing w:after="170"/>
      </w:pPr>
      <w:r>
        <w:rPr>
          <w:rFonts w:ascii="Times New Roman" w:hAnsi="Times New Roman" w:cs="Times New Roman"/>
          <w:sz w:val="42"/>
          <w:sz-cs w:val="42"/>
          <w:b/>
          <w:spacing w:val="0"/>
          <w:color w:val="0D121F"/>
        </w:rPr>
        <w:t xml:space="preserve">4. Main Results</w:t>
      </w:r>
    </w:p>
    <w:p>
      <w:pPr>
        <w:spacing w:after="138"/>
      </w:pPr>
      <w:r>
        <w:rPr>
          <w:rFonts w:ascii="Times New Roman" w:hAnsi="Times New Roman" w:cs="Times New Roman"/>
          <w:sz w:val="34"/>
          <w:sz-cs w:val="34"/>
          <w:b/>
          <w:spacing w:val="0"/>
          <w:color w:val="0D121F"/>
        </w:rPr>
        <w:t xml:space="preserve">4.1 Period Comparison</w:t>
      </w:r>
    </w:p>
    <w:p>
      <w:pPr>
        <w:jc w:val="both"/>
        <w:spacing w:after="320"/>
      </w:pPr>
      <w:r>
        <w:rPr>
          <w:rFonts w:ascii="Times New Roman" w:hAnsi="Times New Roman" w:cs="Times New Roman"/>
          <w:sz w:val="32"/>
          <w:sz-cs w:val="32"/>
          <w:spacing w:val="0"/>
          <w:color w:val="0E121D"/>
        </w:rPr>
        <w:t xml:space="preserve">The primary result is a marked decline in percentage growth after January 2022. The effect is economically large: monthly volume growth falls by 3.63 percentage points, and monthly value growth falls by 3.99 percentage points. Value growth is significant under Welch's test, while volume growth is marginal by Welch and significant by the Mann-Whitney alternative.</w:t>
      </w:r>
    </w:p>
    <w:p>
      <w:pPr>
        <w:jc w:val="right"/>
      </w:pPr>
      <w:r>
        <w:rPr>
          <w:rFonts w:ascii="Times New Roman" w:hAnsi="Times New Roman" w:cs="Times New Roman"/>
          <w:sz w:val="28"/>
          <w:sz-cs w:val="28"/>
          <w:b/>
          <w:spacing w:val="0"/>
          <w:color w:val="0E121D"/>
        </w:rPr>
        <w:t xml:space="preserve">Measure</w:t>
      </w:r>
    </w:p>
    <w:p>
      <w:pPr>
        <w:jc w:val="right"/>
      </w:pPr>
      <w:r>
        <w:rPr>
          <w:rFonts w:ascii="Times New Roman" w:hAnsi="Times New Roman" w:cs="Times New Roman"/>
          <w:sz w:val="28"/>
          <w:sz-cs w:val="28"/>
          <w:b/>
          <w:spacing w:val="0"/>
          <w:color w:val="0E121D"/>
        </w:rPr>
        <w:t xml:space="preserve">Pre-2022 mean [95% CI]</w:t>
      </w:r>
    </w:p>
    <w:p>
      <w:pPr>
        <w:jc w:val="right"/>
      </w:pPr>
      <w:r>
        <w:rPr>
          <w:rFonts w:ascii="Times New Roman" w:hAnsi="Times New Roman" w:cs="Times New Roman"/>
          <w:sz w:val="28"/>
          <w:sz-cs w:val="28"/>
          <w:b/>
          <w:spacing w:val="0"/>
          <w:color w:val="0E121D"/>
        </w:rPr>
        <w:t xml:space="preserve">2022 onward mean [95% CI]</w:t>
      </w:r>
    </w:p>
    <w:p>
      <w:pPr>
        <w:jc w:val="right"/>
      </w:pPr>
      <w:r>
        <w:rPr>
          <w:rFonts w:ascii="Times New Roman" w:hAnsi="Times New Roman" w:cs="Times New Roman"/>
          <w:sz w:val="28"/>
          <w:sz-cs w:val="28"/>
          <w:b/>
          <w:spacing w:val="0"/>
          <w:color w:val="0E121D"/>
        </w:rPr>
        <w:t xml:space="preserve">Post - pre (pp)</w:t>
      </w:r>
    </w:p>
    <w:p>
      <w:pPr>
        <w:jc w:val="right"/>
      </w:pPr>
      <w:r>
        <w:rPr>
          <w:rFonts w:ascii="Times New Roman" w:hAnsi="Times New Roman" w:cs="Times New Roman"/>
          <w:sz w:val="28"/>
          <w:sz-cs w:val="28"/>
          <w:b/>
          <w:spacing w:val="0"/>
          <w:color w:val="0E121D"/>
        </w:rPr>
        <w:t xml:space="preserve">Welch p-value</w:t>
      </w:r>
    </w:p>
    <w:p>
      <w:pPr>
        <w:jc w:val="right"/>
      </w:pPr>
      <w:r>
        <w:rPr>
          <w:rFonts w:ascii="Times New Roman" w:hAnsi="Times New Roman" w:cs="Times New Roman"/>
          <w:sz w:val="28"/>
          <w:sz-cs w:val="28"/>
          <w:b/>
          <w:spacing w:val="0"/>
          <w:color w:val="0E121D"/>
        </w:rPr>
        <w:t xml:space="preserve">Mann-Whitney p-value</w:t>
      </w:r>
    </w:p>
    <w:p>
      <w:pPr/>
      <w:r>
        <w:rPr>
          <w:rFonts w:ascii="Times New Roman" w:hAnsi="Times New Roman" w:cs="Times New Roman"/>
          <w:sz w:val="28"/>
          <w:sz-cs w:val="28"/>
          <w:spacing w:val="0"/>
          <w:color w:val="0E121D"/>
        </w:rPr>
        <w:t xml:space="preserve">Monthly growth in UPI volume</w:t>
      </w:r>
    </w:p>
    <w:p>
      <w:pPr/>
      <w:r>
        <w:rPr>
          <w:rFonts w:ascii="Times New Roman" w:hAnsi="Times New Roman" w:cs="Times New Roman"/>
          <w:sz w:val="28"/>
          <w:sz-cs w:val="28"/>
          <w:spacing w:val="0"/>
          <w:color w:val="0E121D"/>
        </w:rPr>
        <w:t xml:space="preserve">7.28% [4.05, 10.54]</w:t>
      </w:r>
    </w:p>
    <w:p>
      <w:pPr/>
      <w:r>
        <w:rPr>
          <w:rFonts w:ascii="Times New Roman" w:hAnsi="Times New Roman" w:cs="Times New Roman"/>
          <w:sz w:val="28"/>
          <w:sz-cs w:val="28"/>
          <w:spacing w:val="0"/>
          <w:color w:val="0E121D"/>
        </w:rPr>
        <w:t xml:space="preserve">3.65% [2.03, 5.36]</w:t>
      </w:r>
    </w:p>
    <w:p>
      <w:pPr/>
      <w:r>
        <w:rPr>
          <w:rFonts w:ascii="Times New Roman" w:hAnsi="Times New Roman" w:cs="Times New Roman"/>
          <w:sz w:val="28"/>
          <w:sz-cs w:val="28"/>
          <w:spacing w:val="0"/>
          <w:color w:val="0E121D"/>
        </w:rPr>
        <w:t xml:space="preserve">-3.63</w:t>
      </w:r>
    </w:p>
    <w:p>
      <w:pPr/>
      <w:r>
        <w:rPr>
          <w:rFonts w:ascii="Times New Roman" w:hAnsi="Times New Roman" w:cs="Times New Roman"/>
          <w:sz w:val="28"/>
          <w:sz-cs w:val="28"/>
          <w:spacing w:val="0"/>
          <w:color w:val="0E121D"/>
        </w:rPr>
        <w:t xml:space="preserve">0.062</w:t>
      </w:r>
    </w:p>
    <w:p>
      <w:pPr/>
      <w:r>
        <w:rPr>
          <w:rFonts w:ascii="Times New Roman" w:hAnsi="Times New Roman" w:cs="Times New Roman"/>
          <w:sz w:val="28"/>
          <w:sz-cs w:val="28"/>
          <w:spacing w:val="0"/>
          <w:color w:val="0E121D"/>
        </w:rPr>
        <w:t xml:space="preserve">0.046</w:t>
      </w:r>
    </w:p>
    <w:p>
      <w:pPr/>
      <w:r>
        <w:rPr>
          <w:rFonts w:ascii="Times New Roman" w:hAnsi="Times New Roman" w:cs="Times New Roman"/>
          <w:sz w:val="28"/>
          <w:sz-cs w:val="28"/>
          <w:spacing w:val="0"/>
          <w:color w:val="0E121D"/>
        </w:rPr>
        <w:t xml:space="preserve">Monthly growth in UPI value</w:t>
      </w:r>
    </w:p>
    <w:p>
      <w:pPr/>
      <w:r>
        <w:rPr>
          <w:rFonts w:ascii="Times New Roman" w:hAnsi="Times New Roman" w:cs="Times New Roman"/>
          <w:sz w:val="28"/>
          <w:sz-cs w:val="28"/>
          <w:spacing w:val="0"/>
          <w:color w:val="0E121D"/>
        </w:rPr>
        <w:t xml:space="preserve">6.80% [3.76, 9.98]</w:t>
      </w:r>
    </w:p>
    <w:p>
      <w:pPr/>
      <w:r>
        <w:rPr>
          <w:rFonts w:ascii="Times New Roman" w:hAnsi="Times New Roman" w:cs="Times New Roman"/>
          <w:sz w:val="28"/>
          <w:sz-cs w:val="28"/>
          <w:spacing w:val="0"/>
          <w:color w:val="0E121D"/>
        </w:rPr>
        <w:t xml:space="preserve">2.81% [1.23, 4.42]</w:t>
      </w:r>
    </w:p>
    <w:p>
      <w:pPr/>
      <w:r>
        <w:rPr>
          <w:rFonts w:ascii="Times New Roman" w:hAnsi="Times New Roman" w:cs="Times New Roman"/>
          <w:sz w:val="28"/>
          <w:sz-cs w:val="28"/>
          <w:spacing w:val="0"/>
          <w:color w:val="0E121D"/>
        </w:rPr>
        <w:t xml:space="preserve">-3.99</w:t>
      </w:r>
    </w:p>
    <w:p>
      <w:pPr/>
      <w:r>
        <w:rPr>
          <w:rFonts w:ascii="Times New Roman" w:hAnsi="Times New Roman" w:cs="Times New Roman"/>
          <w:sz w:val="28"/>
          <w:sz-cs w:val="28"/>
          <w:spacing w:val="0"/>
          <w:color w:val="0E121D"/>
        </w:rPr>
        <w:t xml:space="preserve">0.036</w:t>
      </w:r>
    </w:p>
    <w:p>
      <w:pPr/>
      <w:r>
        <w:rPr>
          <w:rFonts w:ascii="Times New Roman" w:hAnsi="Times New Roman" w:cs="Times New Roman"/>
          <w:sz w:val="28"/>
          <w:sz-cs w:val="28"/>
          <w:spacing w:val="0"/>
          <w:color w:val="0E121D"/>
        </w:rPr>
        <w:t xml:space="preserve">0.056</w:t>
      </w:r>
    </w:p>
    <w:p>
      <w:pPr>
        <w:spacing w:after="138"/>
      </w:pPr>
      <w:r>
        <w:rPr>
          <w:rFonts w:ascii="Times New Roman" w:hAnsi="Times New Roman" w:cs="Times New Roman"/>
          <w:sz w:val="34"/>
          <w:sz-cs w:val="34"/>
          <w:b/>
          <w:spacing w:val="0"/>
          <w:color w:val="0D121F"/>
        </w:rPr>
        <w:t xml:space="preserve">4.2 Seasonality and Festival Months</w:t>
      </w:r>
    </w:p>
    <w:p>
      <w:pPr>
        <w:jc w:val="both"/>
        <w:spacing w:after="320"/>
      </w:pPr>
      <w:r>
        <w:rPr>
          <w:rFonts w:ascii="Times New Roman" w:hAnsi="Times New Roman" w:cs="Times New Roman"/>
          <w:sz w:val="32"/>
          <w:sz-cs w:val="32"/>
          <w:spacing w:val="0"/>
          <w:color w:val="0E121D"/>
        </w:rPr>
        <w:t xml:space="preserve">Simple festival-month comparisons do not show statistically meaningful differences in average levels. For example, the festival-month Welch p-values are 0.861 for volume and 0.931 for value. That does not imply the absence of seasonality. Instead, it suggests that a fixed October-November-December indicator is too crude when strong trend and calendar composition effects are present.</w:t>
      </w:r>
    </w:p>
    <w:p>
      <w:pPr>
        <w:spacing w:after="138"/>
      </w:pPr>
      <w:r>
        <w:rPr>
          <w:rFonts w:ascii="Times New Roman" w:hAnsi="Times New Roman" w:cs="Times New Roman"/>
          <w:sz w:val="34"/>
          <w:sz-cs w:val="34"/>
          <w:b/>
          <w:spacing w:val="0"/>
          <w:color w:val="0D121F"/>
        </w:rPr>
        <w:t xml:space="preserve">4.3 Seasonality-Adjusted Regressions</w:t>
      </w:r>
    </w:p>
    <w:p>
      <w:pPr>
        <w:jc w:val="both"/>
        <w:spacing w:after="320"/>
      </w:pPr>
      <w:r>
        <w:rPr>
          <w:rFonts w:ascii="Times New Roman" w:hAnsi="Times New Roman" w:cs="Times New Roman"/>
          <w:sz w:val="32"/>
          <w:sz-cs w:val="32"/>
          <w:spacing w:val="0"/>
          <w:color w:val="0E121D"/>
        </w:rPr>
        <w:t xml:space="preserve">Once month effects are controlled for, the post-2022 slowdown remains clear. The post-2022 indicator is -3.30 percentage points for volume growth and -3.74 percentage points for value growth, both with strong HAC-robust significance. October is the strongest positive seasonal month in both specifications, and December also shows a positive effect.</w:t>
      </w:r>
    </w:p>
    <w:p>
      <w:pPr>
        <w:jc w:val="right"/>
      </w:pPr>
      <w:r>
        <w:rPr>
          <w:rFonts w:ascii="Times New Roman" w:hAnsi="Times New Roman" w:cs="Times New Roman"/>
          <w:sz w:val="28"/>
          <w:sz-cs w:val="28"/>
          <w:b/>
          <w:spacing w:val="0"/>
          <w:color w:val="0E121D"/>
        </w:rPr>
        <w:t xml:space="preserve">Model</w:t>
      </w:r>
    </w:p>
    <w:p>
      <w:pPr>
        <w:jc w:val="right"/>
      </w:pPr>
      <w:r>
        <w:rPr>
          <w:rFonts w:ascii="Times New Roman" w:hAnsi="Times New Roman" w:cs="Times New Roman"/>
          <w:sz w:val="28"/>
          <w:sz-cs w:val="28"/>
          <w:b/>
          <w:spacing w:val="0"/>
          <w:color w:val="0E121D"/>
        </w:rPr>
        <w:t xml:space="preserve">Term</w:t>
      </w:r>
    </w:p>
    <w:p>
      <w:pPr>
        <w:jc w:val="right"/>
      </w:pPr>
      <w:r>
        <w:rPr>
          <w:rFonts w:ascii="Times New Roman" w:hAnsi="Times New Roman" w:cs="Times New Roman"/>
          <w:sz w:val="28"/>
          <w:sz-cs w:val="28"/>
          <w:b/>
          <w:spacing w:val="0"/>
          <w:color w:val="0E121D"/>
        </w:rPr>
        <w:t xml:space="preserve">Coefficient</w:t>
      </w:r>
    </w:p>
    <w:p>
      <w:pPr>
        <w:jc w:val="right"/>
      </w:pPr>
      <w:r>
        <w:rPr>
          <w:rFonts w:ascii="Times New Roman" w:hAnsi="Times New Roman" w:cs="Times New Roman"/>
          <w:sz w:val="28"/>
          <w:sz-cs w:val="28"/>
          <w:b/>
          <w:spacing w:val="0"/>
          <w:color w:val="0E121D"/>
        </w:rPr>
        <w:t xml:space="preserve">HAC std. error</w:t>
      </w:r>
    </w:p>
    <w:p>
      <w:pPr>
        <w:jc w:val="right"/>
      </w:pPr>
      <w:r>
        <w:rPr>
          <w:rFonts w:ascii="Times New Roman" w:hAnsi="Times New Roman" w:cs="Times New Roman"/>
          <w:sz w:val="28"/>
          <w:sz-cs w:val="28"/>
          <w:b/>
          <w:spacing w:val="0"/>
          <w:color w:val="0E121D"/>
        </w:rPr>
        <w:t xml:space="preserve">p-value</w:t>
      </w:r>
    </w:p>
    <w:p>
      <w:pPr/>
      <w:r>
        <w:rPr>
          <w:rFonts w:ascii="Times New Roman" w:hAnsi="Times New Roman" w:cs="Times New Roman"/>
          <w:sz w:val="28"/>
          <w:sz-cs w:val="28"/>
          <w:spacing w:val="0"/>
          <w:color w:val="0E121D"/>
        </w:rPr>
        <w:t xml:space="preserve">Volume growth</w:t>
      </w:r>
    </w:p>
    <w:p>
      <w:pPr/>
      <w:r>
        <w:rPr>
          <w:rFonts w:ascii="Times New Roman" w:hAnsi="Times New Roman" w:cs="Times New Roman"/>
          <w:sz w:val="28"/>
          <w:sz-cs w:val="28"/>
          <w:spacing w:val="0"/>
          <w:color w:val="0E121D"/>
        </w:rPr>
        <w:t xml:space="preserve">Post-2022 indicator</w:t>
      </w:r>
    </w:p>
    <w:p>
      <w:pPr/>
      <w:r>
        <w:rPr>
          <w:rFonts w:ascii="Times New Roman" w:hAnsi="Times New Roman" w:cs="Times New Roman"/>
          <w:sz w:val="28"/>
          <w:sz-cs w:val="28"/>
          <w:spacing w:val="0"/>
          <w:color w:val="0E121D"/>
        </w:rPr>
        <w:t xml:space="preserve">-3.3031</w:t>
      </w:r>
    </w:p>
    <w:p>
      <w:pPr/>
      <w:r>
        <w:rPr>
          <w:rFonts w:ascii="Times New Roman" w:hAnsi="Times New Roman" w:cs="Times New Roman"/>
          <w:sz w:val="28"/>
          <w:sz-cs w:val="28"/>
          <w:spacing w:val="0"/>
          <w:color w:val="0E121D"/>
        </w:rPr>
        <w:t xml:space="preserve">0.9715</w:t>
      </w:r>
    </w:p>
    <w:p>
      <w:pPr/>
      <w:r>
        <w:rPr>
          <w:rFonts w:ascii="Times New Roman" w:hAnsi="Times New Roman" w:cs="Times New Roman"/>
          <w:sz w:val="28"/>
          <w:sz-cs w:val="28"/>
          <w:spacing w:val="0"/>
          <w:color w:val="0E121D"/>
        </w:rPr>
        <w:t xml:space="preserve">0.0007</w:t>
      </w:r>
    </w:p>
    <w:p>
      <w:pPr/>
      <w:r>
        <w:rPr>
          <w:rFonts w:ascii="Times New Roman" w:hAnsi="Times New Roman" w:cs="Times New Roman"/>
          <w:sz w:val="28"/>
          <w:sz-cs w:val="28"/>
          <w:spacing w:val="0"/>
          <w:color w:val="0E121D"/>
        </w:rPr>
        <w:t xml:space="preserve">Volume growth</w:t>
      </w:r>
    </w:p>
    <w:p>
      <w:pPr/>
      <w:r>
        <w:rPr>
          <w:rFonts w:ascii="Times New Roman" w:hAnsi="Times New Roman" w:cs="Times New Roman"/>
          <w:sz w:val="28"/>
          <w:sz-cs w:val="28"/>
          <w:spacing w:val="0"/>
          <w:color w:val="0E121D"/>
        </w:rPr>
        <w:t xml:space="preserve">October</w:t>
      </w:r>
    </w:p>
    <w:p>
      <w:pPr/>
      <w:r>
        <w:rPr>
          <w:rFonts w:ascii="Times New Roman" w:hAnsi="Times New Roman" w:cs="Times New Roman"/>
          <w:sz w:val="28"/>
          <w:sz-cs w:val="28"/>
          <w:spacing w:val="0"/>
          <w:color w:val="0E121D"/>
        </w:rPr>
        <w:t xml:space="preserve">8.6544</w:t>
      </w:r>
    </w:p>
    <w:p>
      <w:pPr/>
      <w:r>
        <w:rPr>
          <w:rFonts w:ascii="Times New Roman" w:hAnsi="Times New Roman" w:cs="Times New Roman"/>
          <w:sz w:val="28"/>
          <w:sz-cs w:val="28"/>
          <w:spacing w:val="0"/>
          <w:color w:val="0E121D"/>
        </w:rPr>
        <w:t xml:space="preserve">0.9941</w:t>
      </w:r>
    </w:p>
    <w:p>
      <w:pPr/>
      <w:r>
        <w:rPr>
          <w:rFonts w:ascii="Times New Roman" w:hAnsi="Times New Roman" w:cs="Times New Roman"/>
          <w:sz w:val="28"/>
          <w:sz-cs w:val="28"/>
          <w:spacing w:val="0"/>
          <w:color w:val="0E121D"/>
        </w:rPr>
        <w:t xml:space="preserve">0.0000</w:t>
      </w:r>
    </w:p>
    <w:p>
      <w:pPr/>
      <w:r>
        <w:rPr>
          <w:rFonts w:ascii="Times New Roman" w:hAnsi="Times New Roman" w:cs="Times New Roman"/>
          <w:sz w:val="28"/>
          <w:sz-cs w:val="28"/>
          <w:spacing w:val="0"/>
          <w:color w:val="0E121D"/>
        </w:rPr>
        <w:t xml:space="preserve">Volume growth</w:t>
      </w:r>
    </w:p>
    <w:p>
      <w:pPr/>
      <w:r>
        <w:rPr>
          <w:rFonts w:ascii="Times New Roman" w:hAnsi="Times New Roman" w:cs="Times New Roman"/>
          <w:sz w:val="28"/>
          <w:sz-cs w:val="28"/>
          <w:spacing w:val="0"/>
          <w:color w:val="0E121D"/>
        </w:rPr>
        <w:t xml:space="preserve">November</w:t>
      </w:r>
    </w:p>
    <w:p>
      <w:pPr/>
      <w:r>
        <w:rPr>
          <w:rFonts w:ascii="Times New Roman" w:hAnsi="Times New Roman" w:cs="Times New Roman"/>
          <w:sz w:val="28"/>
          <w:sz-cs w:val="28"/>
          <w:spacing w:val="0"/>
          <w:color w:val="0E121D"/>
        </w:rPr>
        <w:t xml:space="preserve">-3.0915</w:t>
      </w:r>
    </w:p>
    <w:p>
      <w:pPr/>
      <w:r>
        <w:rPr>
          <w:rFonts w:ascii="Times New Roman" w:hAnsi="Times New Roman" w:cs="Times New Roman"/>
          <w:sz w:val="28"/>
          <w:sz-cs w:val="28"/>
          <w:spacing w:val="0"/>
          <w:color w:val="0E121D"/>
        </w:rPr>
        <w:t xml:space="preserve">1.6893</w:t>
      </w:r>
    </w:p>
    <w:p>
      <w:pPr/>
      <w:r>
        <w:rPr>
          <w:rFonts w:ascii="Times New Roman" w:hAnsi="Times New Roman" w:cs="Times New Roman"/>
          <w:sz w:val="28"/>
          <w:sz-cs w:val="28"/>
          <w:spacing w:val="0"/>
          <w:color w:val="0E121D"/>
        </w:rPr>
        <w:t xml:space="preserve">0.0672</w:t>
      </w:r>
    </w:p>
    <w:p>
      <w:pPr/>
      <w:r>
        <w:rPr>
          <w:rFonts w:ascii="Times New Roman" w:hAnsi="Times New Roman" w:cs="Times New Roman"/>
          <w:sz w:val="28"/>
          <w:sz-cs w:val="28"/>
          <w:spacing w:val="0"/>
          <w:color w:val="0E121D"/>
        </w:rPr>
        <w:t xml:space="preserve">Volume growth</w:t>
      </w:r>
    </w:p>
    <w:p>
      <w:pPr/>
      <w:r>
        <w:rPr>
          <w:rFonts w:ascii="Times New Roman" w:hAnsi="Times New Roman" w:cs="Times New Roman"/>
          <w:sz w:val="28"/>
          <w:sz-cs w:val="28"/>
          <w:spacing w:val="0"/>
          <w:color w:val="0E121D"/>
        </w:rPr>
        <w:t xml:space="preserve">December</w:t>
      </w:r>
    </w:p>
    <w:p>
      <w:pPr/>
      <w:r>
        <w:rPr>
          <w:rFonts w:ascii="Times New Roman" w:hAnsi="Times New Roman" w:cs="Times New Roman"/>
          <w:sz w:val="28"/>
          <w:sz-cs w:val="28"/>
          <w:spacing w:val="0"/>
          <w:color w:val="0E121D"/>
        </w:rPr>
        <w:t xml:space="preserve">3.8068</w:t>
      </w:r>
    </w:p>
    <w:p>
      <w:pPr/>
      <w:r>
        <w:rPr>
          <w:rFonts w:ascii="Times New Roman" w:hAnsi="Times New Roman" w:cs="Times New Roman"/>
          <w:sz w:val="28"/>
          <w:sz-cs w:val="28"/>
          <w:spacing w:val="0"/>
          <w:color w:val="0E121D"/>
        </w:rPr>
        <w:t xml:space="preserve">1.4447</w:t>
      </w:r>
    </w:p>
    <w:p>
      <w:pPr/>
      <w:r>
        <w:rPr>
          <w:rFonts w:ascii="Times New Roman" w:hAnsi="Times New Roman" w:cs="Times New Roman"/>
          <w:sz w:val="28"/>
          <w:sz-cs w:val="28"/>
          <w:spacing w:val="0"/>
          <w:color w:val="0E121D"/>
        </w:rPr>
        <w:t xml:space="preserve">0.0084</w:t>
      </w:r>
    </w:p>
    <w:p>
      <w:pPr/>
      <w:r>
        <w:rPr>
          <w:rFonts w:ascii="Times New Roman" w:hAnsi="Times New Roman" w:cs="Times New Roman"/>
          <w:sz w:val="28"/>
          <w:sz-cs w:val="28"/>
          <w:spacing w:val="0"/>
          <w:color w:val="0E121D"/>
        </w:rPr>
        <w:t xml:space="preserve">Value growth</w:t>
      </w:r>
    </w:p>
    <w:p>
      <w:pPr/>
      <w:r>
        <w:rPr>
          <w:rFonts w:ascii="Times New Roman" w:hAnsi="Times New Roman" w:cs="Times New Roman"/>
          <w:sz w:val="28"/>
          <w:sz-cs w:val="28"/>
          <w:spacing w:val="0"/>
          <w:color w:val="0E121D"/>
        </w:rPr>
        <w:t xml:space="preserve">Post-2022 indicator</w:t>
      </w:r>
    </w:p>
    <w:p>
      <w:pPr/>
      <w:r>
        <w:rPr>
          <w:rFonts w:ascii="Times New Roman" w:hAnsi="Times New Roman" w:cs="Times New Roman"/>
          <w:sz w:val="28"/>
          <w:sz-cs w:val="28"/>
          <w:spacing w:val="0"/>
          <w:color w:val="0E121D"/>
        </w:rPr>
        <w:t xml:space="preserve">-3.7421</w:t>
      </w:r>
    </w:p>
    <w:p>
      <w:pPr/>
      <w:r>
        <w:rPr>
          <w:rFonts w:ascii="Times New Roman" w:hAnsi="Times New Roman" w:cs="Times New Roman"/>
          <w:sz w:val="28"/>
          <w:sz-cs w:val="28"/>
          <w:spacing w:val="0"/>
          <w:color w:val="0E121D"/>
        </w:rPr>
        <w:t xml:space="preserve">0.7232</w:t>
      </w:r>
    </w:p>
    <w:p>
      <w:pPr/>
      <w:r>
        <w:rPr>
          <w:rFonts w:ascii="Times New Roman" w:hAnsi="Times New Roman" w:cs="Times New Roman"/>
          <w:sz w:val="28"/>
          <w:sz-cs w:val="28"/>
          <w:spacing w:val="0"/>
          <w:color w:val="0E121D"/>
        </w:rPr>
        <w:t xml:space="preserve">0.0000</w:t>
      </w:r>
    </w:p>
    <w:p>
      <w:pPr/>
      <w:r>
        <w:rPr>
          <w:rFonts w:ascii="Times New Roman" w:hAnsi="Times New Roman" w:cs="Times New Roman"/>
          <w:sz w:val="28"/>
          <w:sz-cs w:val="28"/>
          <w:spacing w:val="0"/>
          <w:color w:val="0E121D"/>
        </w:rPr>
        <w:t xml:space="preserve">Value growth</w:t>
      </w:r>
    </w:p>
    <w:p>
      <w:pPr/>
      <w:r>
        <w:rPr>
          <w:rFonts w:ascii="Times New Roman" w:hAnsi="Times New Roman" w:cs="Times New Roman"/>
          <w:sz w:val="28"/>
          <w:sz-cs w:val="28"/>
          <w:spacing w:val="0"/>
          <w:color w:val="0E121D"/>
        </w:rPr>
        <w:t xml:space="preserve">October</w:t>
      </w:r>
    </w:p>
    <w:p>
      <w:pPr/>
      <w:r>
        <w:rPr>
          <w:rFonts w:ascii="Times New Roman" w:hAnsi="Times New Roman" w:cs="Times New Roman"/>
          <w:sz w:val="28"/>
          <w:sz-cs w:val="28"/>
          <w:spacing w:val="0"/>
          <w:color w:val="0E121D"/>
        </w:rPr>
        <w:t xml:space="preserve">10.9807</w:t>
      </w:r>
    </w:p>
    <w:p>
      <w:pPr/>
      <w:r>
        <w:rPr>
          <w:rFonts w:ascii="Times New Roman" w:hAnsi="Times New Roman" w:cs="Times New Roman"/>
          <w:sz w:val="28"/>
          <w:sz-cs w:val="28"/>
          <w:spacing w:val="0"/>
          <w:color w:val="0E121D"/>
        </w:rPr>
        <w:t xml:space="preserve">1.2075</w:t>
      </w:r>
    </w:p>
    <w:p>
      <w:pPr/>
      <w:r>
        <w:rPr>
          <w:rFonts w:ascii="Times New Roman" w:hAnsi="Times New Roman" w:cs="Times New Roman"/>
          <w:sz w:val="28"/>
          <w:sz-cs w:val="28"/>
          <w:spacing w:val="0"/>
          <w:color w:val="0E121D"/>
        </w:rPr>
        <w:t xml:space="preserve">0.0000</w:t>
      </w:r>
    </w:p>
    <w:p>
      <w:pPr/>
      <w:r>
        <w:rPr>
          <w:rFonts w:ascii="Times New Roman" w:hAnsi="Times New Roman" w:cs="Times New Roman"/>
          <w:sz w:val="28"/>
          <w:sz-cs w:val="28"/>
          <w:spacing w:val="0"/>
          <w:color w:val="0E121D"/>
        </w:rPr>
        <w:t xml:space="preserve">Value growth</w:t>
      </w:r>
    </w:p>
    <w:p>
      <w:pPr/>
      <w:r>
        <w:rPr>
          <w:rFonts w:ascii="Times New Roman" w:hAnsi="Times New Roman" w:cs="Times New Roman"/>
          <w:sz w:val="28"/>
          <w:sz-cs w:val="28"/>
          <w:spacing w:val="0"/>
          <w:color w:val="0E121D"/>
        </w:rPr>
        <w:t xml:space="preserve">November</w:t>
      </w:r>
    </w:p>
    <w:p>
      <w:pPr/>
      <w:r>
        <w:rPr>
          <w:rFonts w:ascii="Times New Roman" w:hAnsi="Times New Roman" w:cs="Times New Roman"/>
          <w:sz w:val="28"/>
          <w:sz-cs w:val="28"/>
          <w:spacing w:val="0"/>
          <w:color w:val="0E121D"/>
        </w:rPr>
        <w:t xml:space="preserve">-3.8076</w:t>
      </w:r>
    </w:p>
    <w:p>
      <w:pPr/>
      <w:r>
        <w:rPr>
          <w:rFonts w:ascii="Times New Roman" w:hAnsi="Times New Roman" w:cs="Times New Roman"/>
          <w:sz w:val="28"/>
          <w:sz-cs w:val="28"/>
          <w:spacing w:val="0"/>
          <w:color w:val="0E121D"/>
        </w:rPr>
        <w:t xml:space="preserve">1.4683</w:t>
      </w:r>
    </w:p>
    <w:p>
      <w:pPr/>
      <w:r>
        <w:rPr>
          <w:rFonts w:ascii="Times New Roman" w:hAnsi="Times New Roman" w:cs="Times New Roman"/>
          <w:sz w:val="28"/>
          <w:sz-cs w:val="28"/>
          <w:spacing w:val="0"/>
          <w:color w:val="0E121D"/>
        </w:rPr>
        <w:t xml:space="preserve">0.0095</w:t>
      </w:r>
    </w:p>
    <w:p>
      <w:pPr/>
      <w:r>
        <w:rPr>
          <w:rFonts w:ascii="Times New Roman" w:hAnsi="Times New Roman" w:cs="Times New Roman"/>
          <w:sz w:val="28"/>
          <w:sz-cs w:val="28"/>
          <w:spacing w:val="0"/>
          <w:color w:val="0E121D"/>
        </w:rPr>
        <w:t xml:space="preserve">Value growth</w:t>
      </w:r>
    </w:p>
    <w:p>
      <w:pPr/>
      <w:r>
        <w:rPr>
          <w:rFonts w:ascii="Times New Roman" w:hAnsi="Times New Roman" w:cs="Times New Roman"/>
          <w:sz w:val="28"/>
          <w:sz-cs w:val="28"/>
          <w:spacing w:val="0"/>
          <w:color w:val="0E121D"/>
        </w:rPr>
        <w:t xml:space="preserve">December</w:t>
      </w:r>
    </w:p>
    <w:p>
      <w:pPr/>
      <w:r>
        <w:rPr>
          <w:rFonts w:ascii="Times New Roman" w:hAnsi="Times New Roman" w:cs="Times New Roman"/>
          <w:sz w:val="28"/>
          <w:sz-cs w:val="28"/>
          <w:spacing w:val="0"/>
          <w:color w:val="0E121D"/>
        </w:rPr>
        <w:t xml:space="preserve">4.6124</w:t>
      </w:r>
    </w:p>
    <w:p>
      <w:pPr/>
      <w:r>
        <w:rPr>
          <w:rFonts w:ascii="Times New Roman" w:hAnsi="Times New Roman" w:cs="Times New Roman"/>
          <w:sz w:val="28"/>
          <w:sz-cs w:val="28"/>
          <w:spacing w:val="0"/>
          <w:color w:val="0E121D"/>
        </w:rPr>
        <w:t xml:space="preserve">0.8028</w:t>
      </w:r>
    </w:p>
    <w:p>
      <w:pPr/>
      <w:r>
        <w:rPr>
          <w:rFonts w:ascii="Times New Roman" w:hAnsi="Times New Roman" w:cs="Times New Roman"/>
          <w:sz w:val="28"/>
          <w:sz-cs w:val="28"/>
          <w:spacing w:val="0"/>
          <w:color w:val="0E121D"/>
        </w:rPr>
        <w:t xml:space="preserve">0.0000</w:t>
      </w:r>
    </w:p>
    <w:p>
      <w:pPr>
        <w:jc w:val="center"/>
      </w:pPr>
      <w:r>
        <w:rPr>
          <w:rFonts w:ascii="Times New Roman" w:hAnsi="Times New Roman" w:cs="Times New Roman"/>
          <w:sz w:val="32"/>
          <w:sz-cs w:val="32"/>
          <w:spacing w:val="0"/>
          <w:color w:val="0E121D"/>
        </w:rPr>
        <w:t xml:space="preserve"/>
      </w:r>
      <w:r>
        <w:rPr>
          <w:rFonts w:ascii="Times New Roman" w:hAnsi="Times New Roman" w:cs="Times New Roman"/>
          <w:sz w:val="26"/>
          <w:sz-cs w:val="26"/>
          <w:spacing w:val="0"/>
          <w:color w:val="374356"/>
        </w:rPr>
        <w:t xml:space="preserve"/>
      </w:r>
    </w:p>
    <w:p>
      <w:pPr>
        <w:jc w:val="center"/>
      </w:pPr>
      <w:r>
        <w:rPr>
          <w:rFonts w:ascii="Times New Roman" w:hAnsi="Times New Roman" w:cs="Times New Roman"/>
          <w:sz w:val="26"/>
          <w:sz-cs w:val="26"/>
          <w:spacing w:val="0"/>
          <w:color w:val="374356"/>
        </w:rPr>
        <w:t xml:space="preserve">Figure 1. Monthly UPI levels, growth, and pre/post comparison generated from the validated dataset.</w:t>
      </w:r>
    </w:p>
    <w:p>
      <w:pPr>
        <w:spacing w:after="138"/>
      </w:pPr>
      <w:r>
        <w:rPr>
          <w:rFonts w:ascii="Times New Roman" w:hAnsi="Times New Roman" w:cs="Times New Roman"/>
          <w:sz w:val="34"/>
          <w:sz-cs w:val="34"/>
          <w:b/>
          <w:spacing w:val="0"/>
          <w:color w:val="0D121F"/>
        </w:rPr>
        <w:t xml:space="preserve">4.4 Daily Data and Autocorrelation</w:t>
      </w:r>
    </w:p>
    <w:p>
      <w:pPr>
        <w:jc w:val="both"/>
        <w:spacing w:after="320"/>
      </w:pPr>
      <w:r>
        <w:rPr>
          <w:rFonts w:ascii="Times New Roman" w:hAnsi="Times New Roman" w:cs="Times New Roman"/>
          <w:sz w:val="32"/>
          <w:sz-cs w:val="32"/>
          <w:spacing w:val="0"/>
          <w:color w:val="0E121D"/>
        </w:rPr>
        <w:t xml:space="preserve">The daily series add practical high-frequency structure that monthly aggregates hide. Daily log-growth is negatively autocorrelated at lag 1 and strongly positively autocorrelated at lag 7, especially for transaction value. That pattern is consistent with day-of-week effects and confirms that serial correlation should not be ignored in inference.</w:t>
      </w:r>
    </w:p>
    <w:p>
      <w:pPr>
        <w:jc w:val="right"/>
      </w:pPr>
      <w:r>
        <w:rPr>
          <w:rFonts w:ascii="Times New Roman" w:hAnsi="Times New Roman" w:cs="Times New Roman"/>
          <w:sz w:val="28"/>
          <w:sz-cs w:val="28"/>
          <w:b/>
          <w:spacing w:val="0"/>
          <w:color w:val="0E121D"/>
        </w:rPr>
        <w:t xml:space="preserve">Series</w:t>
      </w:r>
    </w:p>
    <w:p>
      <w:pPr>
        <w:jc w:val="right"/>
      </w:pPr>
      <w:r>
        <w:rPr>
          <w:rFonts w:ascii="Times New Roman" w:hAnsi="Times New Roman" w:cs="Times New Roman"/>
          <w:sz w:val="28"/>
          <w:sz-cs w:val="28"/>
          <w:b/>
          <w:spacing w:val="0"/>
          <w:color w:val="0E121D"/>
        </w:rPr>
        <w:t xml:space="preserve">Lag</w:t>
      </w:r>
    </w:p>
    <w:p>
      <w:pPr>
        <w:jc w:val="right"/>
      </w:pPr>
      <w:r>
        <w:rPr>
          <w:rFonts w:ascii="Times New Roman" w:hAnsi="Times New Roman" w:cs="Times New Roman"/>
          <w:sz w:val="28"/>
          <w:sz-cs w:val="28"/>
          <w:b/>
          <w:spacing w:val="0"/>
          <w:color w:val="0E121D"/>
        </w:rPr>
        <w:t xml:space="preserve">Autocorrelation</w:t>
      </w:r>
    </w:p>
    <w:p>
      <w:pPr/>
      <w:r>
        <w:rPr>
          <w:rFonts w:ascii="Times New Roman" w:hAnsi="Times New Roman" w:cs="Times New Roman"/>
          <w:sz w:val="28"/>
          <w:sz-cs w:val="28"/>
          <w:spacing w:val="0"/>
          <w:color w:val="0E121D"/>
        </w:rPr>
        <w:t xml:space="preserve">log_growth_volume</w:t>
      </w:r>
    </w:p>
    <w:p>
      <w:pPr/>
      <w:r>
        <w:rPr>
          <w:rFonts w:ascii="Times New Roman" w:hAnsi="Times New Roman" w:cs="Times New Roman"/>
          <w:sz w:val="28"/>
          <w:sz-cs w:val="28"/>
          <w:spacing w:val="0"/>
          <w:color w:val="0E121D"/>
        </w:rPr>
        <w:t xml:space="preserve">1</w:t>
      </w:r>
    </w:p>
    <w:p>
      <w:pPr/>
      <w:r>
        <w:rPr>
          <w:rFonts w:ascii="Times New Roman" w:hAnsi="Times New Roman" w:cs="Times New Roman"/>
          <w:sz w:val="28"/>
          <w:sz-cs w:val="28"/>
          <w:spacing w:val="0"/>
          <w:color w:val="0E121D"/>
        </w:rPr>
        <w:t xml:space="preserve">-0.3865</w:t>
      </w:r>
    </w:p>
    <w:p>
      <w:pPr/>
      <w:r>
        <w:rPr>
          <w:rFonts w:ascii="Times New Roman" w:hAnsi="Times New Roman" w:cs="Times New Roman"/>
          <w:sz w:val="28"/>
          <w:sz-cs w:val="28"/>
          <w:spacing w:val="0"/>
          <w:color w:val="0E121D"/>
        </w:rPr>
        <w:t xml:space="preserve">log_growth_volume</w:t>
      </w:r>
    </w:p>
    <w:p>
      <w:pPr/>
      <w:r>
        <w:rPr>
          <w:rFonts w:ascii="Times New Roman" w:hAnsi="Times New Roman" w:cs="Times New Roman"/>
          <w:sz w:val="28"/>
          <w:sz-cs w:val="28"/>
          <w:spacing w:val="0"/>
          <w:color w:val="0E121D"/>
        </w:rPr>
        <w:t xml:space="preserve">7</w:t>
      </w:r>
    </w:p>
    <w:p>
      <w:pPr/>
      <w:r>
        <w:rPr>
          <w:rFonts w:ascii="Times New Roman" w:hAnsi="Times New Roman" w:cs="Times New Roman"/>
          <w:sz w:val="28"/>
          <w:sz-cs w:val="28"/>
          <w:spacing w:val="0"/>
          <w:color w:val="0E121D"/>
        </w:rPr>
        <w:t xml:space="preserve">0.2170</w:t>
      </w:r>
    </w:p>
    <w:p>
      <w:pPr/>
      <w:r>
        <w:rPr>
          <w:rFonts w:ascii="Times New Roman" w:hAnsi="Times New Roman" w:cs="Times New Roman"/>
          <w:sz w:val="28"/>
          <w:sz-cs w:val="28"/>
          <w:spacing w:val="0"/>
          <w:color w:val="0E121D"/>
        </w:rPr>
        <w:t xml:space="preserve">log_growth_value</w:t>
      </w:r>
    </w:p>
    <w:p>
      <w:pPr/>
      <w:r>
        <w:rPr>
          <w:rFonts w:ascii="Times New Roman" w:hAnsi="Times New Roman" w:cs="Times New Roman"/>
          <w:sz w:val="28"/>
          <w:sz-cs w:val="28"/>
          <w:spacing w:val="0"/>
          <w:color w:val="0E121D"/>
        </w:rPr>
        <w:t xml:space="preserve">1</w:t>
      </w:r>
    </w:p>
    <w:p>
      <w:pPr/>
      <w:r>
        <w:rPr>
          <w:rFonts w:ascii="Times New Roman" w:hAnsi="Times New Roman" w:cs="Times New Roman"/>
          <w:sz w:val="28"/>
          <w:sz-cs w:val="28"/>
          <w:spacing w:val="0"/>
          <w:color w:val="0E121D"/>
        </w:rPr>
        <w:t xml:space="preserve">-0.3783</w:t>
      </w:r>
    </w:p>
    <w:p>
      <w:pPr/>
      <w:r>
        <w:rPr>
          <w:rFonts w:ascii="Times New Roman" w:hAnsi="Times New Roman" w:cs="Times New Roman"/>
          <w:sz w:val="28"/>
          <w:sz-cs w:val="28"/>
          <w:spacing w:val="0"/>
          <w:color w:val="0E121D"/>
        </w:rPr>
        <w:t xml:space="preserve">log_growth_value</w:t>
      </w:r>
    </w:p>
    <w:p>
      <w:pPr/>
      <w:r>
        <w:rPr>
          <w:rFonts w:ascii="Times New Roman" w:hAnsi="Times New Roman" w:cs="Times New Roman"/>
          <w:sz w:val="28"/>
          <w:sz-cs w:val="28"/>
          <w:spacing w:val="0"/>
          <w:color w:val="0E121D"/>
        </w:rPr>
        <w:t xml:space="preserve">7</w:t>
      </w:r>
    </w:p>
    <w:p>
      <w:pPr/>
      <w:r>
        <w:rPr>
          <w:rFonts w:ascii="Times New Roman" w:hAnsi="Times New Roman" w:cs="Times New Roman"/>
          <w:sz w:val="28"/>
          <w:sz-cs w:val="28"/>
          <w:spacing w:val="0"/>
          <w:color w:val="0E121D"/>
        </w:rPr>
        <w:t xml:space="preserve">0.7033</w:t>
      </w:r>
    </w:p>
    <w:p>
      <w:pPr>
        <w:spacing w:after="138"/>
      </w:pPr>
      <w:r>
        <w:rPr>
          <w:rFonts w:ascii="Times New Roman" w:hAnsi="Times New Roman" w:cs="Times New Roman"/>
          <w:sz w:val="34"/>
          <w:sz-cs w:val="34"/>
          <w:b/>
          <w:spacing w:val="0"/>
          <w:color w:val="0D121F"/>
        </w:rPr>
        <w:t xml:space="preserve">4.5 Annualised Robustness</w:t>
      </w:r>
    </w:p>
    <w:p>
      <w:pPr>
        <w:jc w:val="both"/>
        <w:spacing w:after="320"/>
      </w:pPr>
      <w:r>
        <w:rPr>
          <w:rFonts w:ascii="Times New Roman" w:hAnsi="Times New Roman" w:cs="Times New Roman"/>
          <w:sz w:val="32"/>
          <w:sz-cs w:val="32"/>
          <w:spacing w:val="0"/>
          <w:color w:val="0E121D"/>
        </w:rPr>
        <w:t xml:space="preserve">Annual average monthly growth declines steadily from 2021 through 2024 in both volume and value. This lower-frequency view supports the same structural interpretation as the monthly results and is useful when discussing approximate independence at a course-theory level.</w:t>
      </w:r>
    </w:p>
    <w:p>
      <w:pPr>
        <w:jc w:val="right"/>
      </w:pPr>
      <w:r>
        <w:rPr>
          <w:rFonts w:ascii="Times New Roman" w:hAnsi="Times New Roman" w:cs="Times New Roman"/>
          <w:sz w:val="28"/>
          <w:sz-cs w:val="28"/>
          <w:b/>
          <w:spacing w:val="0"/>
          <w:color w:val="0E121D"/>
        </w:rPr>
        <w:t xml:space="preserve">Year</w:t>
      </w:r>
    </w:p>
    <w:p>
      <w:pPr>
        <w:jc w:val="right"/>
      </w:pPr>
      <w:r>
        <w:rPr>
          <w:rFonts w:ascii="Times New Roman" w:hAnsi="Times New Roman" w:cs="Times New Roman"/>
          <w:sz w:val="28"/>
          <w:sz-cs w:val="28"/>
          <w:b/>
          <w:spacing w:val="0"/>
          <w:color w:val="0E121D"/>
        </w:rPr>
        <w:t xml:space="preserve">Avg. monthly volume growth</w:t>
      </w:r>
    </w:p>
    <w:p>
      <w:pPr>
        <w:jc w:val="right"/>
      </w:pPr>
      <w:r>
        <w:rPr>
          <w:rFonts w:ascii="Times New Roman" w:hAnsi="Times New Roman" w:cs="Times New Roman"/>
          <w:sz w:val="28"/>
          <w:sz-cs w:val="28"/>
          <w:b/>
          <w:spacing w:val="0"/>
          <w:color w:val="0E121D"/>
        </w:rPr>
        <w:t xml:space="preserve">Avg. monthly value growth</w:t>
      </w:r>
    </w:p>
    <w:p>
      <w:pPr>
        <w:jc w:val="right"/>
      </w:pPr>
      <w:r>
        <w:rPr>
          <w:rFonts w:ascii="Times New Roman" w:hAnsi="Times New Roman" w:cs="Times New Roman"/>
          <w:sz w:val="28"/>
          <w:sz-cs w:val="28"/>
          <w:b/>
          <w:spacing w:val="0"/>
          <w:color w:val="0E121D"/>
        </w:rPr>
        <w:t xml:space="preserve">Months observed</w:t>
      </w:r>
    </w:p>
    <w:p>
      <w:pPr>
        <w:jc w:val="right"/>
      </w:pPr>
      <w:r>
        <w:rPr>
          <w:rFonts w:ascii="Times New Roman" w:hAnsi="Times New Roman" w:cs="Times New Roman"/>
          <w:sz w:val="28"/>
          <w:sz-cs w:val="28"/>
          <w:b/>
          <w:spacing w:val="0"/>
          <w:color w:val="0E121D"/>
        </w:rPr>
        <w:t xml:space="preserve">Complete year</w:t>
      </w:r>
    </w:p>
    <w:p>
      <w:pPr/>
      <w:r>
        <w:rPr>
          <w:rFonts w:ascii="Times New Roman" w:hAnsi="Times New Roman" w:cs="Times New Roman"/>
          <w:sz w:val="28"/>
          <w:sz-cs w:val="28"/>
          <w:spacing w:val="0"/>
          <w:color w:val="0E121D"/>
        </w:rPr>
        <w:t xml:space="preserve">2020</w:t>
      </w:r>
    </w:p>
    <w:p>
      <w:pPr/>
      <w:r>
        <w:rPr>
          <w:rFonts w:ascii="Times New Roman" w:hAnsi="Times New Roman" w:cs="Times New Roman"/>
          <w:sz w:val="28"/>
          <w:sz-cs w:val="28"/>
          <w:spacing w:val="0"/>
          <w:color w:val="0E121D"/>
        </w:rPr>
        <w:t xml:space="preserve">9.0277</w:t>
      </w:r>
    </w:p>
    <w:p>
      <w:pPr/>
      <w:r>
        <w:rPr>
          <w:rFonts w:ascii="Times New Roman" w:hAnsi="Times New Roman" w:cs="Times New Roman"/>
          <w:sz w:val="28"/>
          <w:sz-cs w:val="28"/>
          <w:spacing w:val="0"/>
          <w:color w:val="0E121D"/>
        </w:rPr>
        <w:t xml:space="preserve">8.1647</w:t>
      </w:r>
    </w:p>
    <w:p>
      <w:pPr/>
      <w:r>
        <w:rPr>
          <w:rFonts w:ascii="Times New Roman" w:hAnsi="Times New Roman" w:cs="Times New Roman"/>
          <w:sz w:val="28"/>
          <w:sz-cs w:val="28"/>
          <w:spacing w:val="0"/>
          <w:color w:val="0E121D"/>
        </w:rPr>
        <w:t xml:space="preserve">6</w:t>
      </w:r>
    </w:p>
    <w:p>
      <w:pPr/>
      <w:r>
        <w:rPr>
          <w:rFonts w:ascii="Times New Roman" w:hAnsi="Times New Roman" w:cs="Times New Roman"/>
          <w:sz w:val="28"/>
          <w:sz-cs w:val="28"/>
          <w:spacing w:val="0"/>
          <w:color w:val="0E121D"/>
        </w:rPr>
        <w:t xml:space="preserve">0</w:t>
      </w:r>
    </w:p>
    <w:p>
      <w:pPr/>
      <w:r>
        <w:rPr>
          <w:rFonts w:ascii="Times New Roman" w:hAnsi="Times New Roman" w:cs="Times New Roman"/>
          <w:sz w:val="28"/>
          <w:sz-cs w:val="28"/>
          <w:spacing w:val="0"/>
          <w:color w:val="0E121D"/>
        </w:rPr>
        <w:t xml:space="preserve">2021</w:t>
      </w:r>
    </w:p>
    <w:p>
      <w:pPr/>
      <w:r>
        <w:rPr>
          <w:rFonts w:ascii="Times New Roman" w:hAnsi="Times New Roman" w:cs="Times New Roman"/>
          <w:sz w:val="28"/>
          <w:sz-cs w:val="28"/>
          <w:spacing w:val="0"/>
          <w:color w:val="0E121D"/>
        </w:rPr>
        <w:t xml:space="preserve">6.4091</w:t>
      </w:r>
    </w:p>
    <w:p>
      <w:pPr/>
      <w:r>
        <w:rPr>
          <w:rFonts w:ascii="Times New Roman" w:hAnsi="Times New Roman" w:cs="Times New Roman"/>
          <w:sz w:val="28"/>
          <w:sz-cs w:val="28"/>
          <w:spacing w:val="0"/>
          <w:color w:val="0E121D"/>
        </w:rPr>
        <w:t xml:space="preserve">6.1157</w:t>
      </w:r>
    </w:p>
    <w:p>
      <w:pPr/>
      <w:r>
        <w:rPr>
          <w:rFonts w:ascii="Times New Roman" w:hAnsi="Times New Roman" w:cs="Times New Roman"/>
          <w:sz w:val="28"/>
          <w:sz-cs w:val="28"/>
          <w:spacing w:val="0"/>
          <w:color w:val="0E121D"/>
        </w:rPr>
        <w:t xml:space="preserve">12</w:t>
      </w:r>
    </w:p>
    <w:p>
      <w:pPr/>
      <w:r>
        <w:rPr>
          <w:rFonts w:ascii="Times New Roman" w:hAnsi="Times New Roman" w:cs="Times New Roman"/>
          <w:sz w:val="28"/>
          <w:sz-cs w:val="28"/>
          <w:spacing w:val="0"/>
          <w:color w:val="0E121D"/>
        </w:rPr>
        <w:t xml:space="preserve">1</w:t>
      </w:r>
    </w:p>
    <w:p>
      <w:pPr/>
      <w:r>
        <w:rPr>
          <w:rFonts w:ascii="Times New Roman" w:hAnsi="Times New Roman" w:cs="Times New Roman"/>
          <w:sz w:val="28"/>
          <w:sz-cs w:val="28"/>
          <w:spacing w:val="0"/>
          <w:color w:val="0E121D"/>
        </w:rPr>
        <w:t xml:space="preserve">2022</w:t>
      </w:r>
    </w:p>
    <w:p>
      <w:pPr/>
      <w:r>
        <w:rPr>
          <w:rFonts w:ascii="Times New Roman" w:hAnsi="Times New Roman" w:cs="Times New Roman"/>
          <w:sz w:val="28"/>
          <w:sz-cs w:val="28"/>
          <w:spacing w:val="0"/>
          <w:color w:val="0E121D"/>
        </w:rPr>
        <w:t xml:space="preserve">4.7332</w:t>
      </w:r>
    </w:p>
    <w:p>
      <w:pPr/>
      <w:r>
        <w:rPr>
          <w:rFonts w:ascii="Times New Roman" w:hAnsi="Times New Roman" w:cs="Times New Roman"/>
          <w:sz w:val="28"/>
          <w:sz-cs w:val="28"/>
          <w:spacing w:val="0"/>
          <w:color w:val="0E121D"/>
        </w:rPr>
        <w:t xml:space="preserve">3.8411</w:t>
      </w:r>
    </w:p>
    <w:p>
      <w:pPr/>
      <w:r>
        <w:rPr>
          <w:rFonts w:ascii="Times New Roman" w:hAnsi="Times New Roman" w:cs="Times New Roman"/>
          <w:sz w:val="28"/>
          <w:sz-cs w:val="28"/>
          <w:spacing w:val="0"/>
          <w:color w:val="0E121D"/>
        </w:rPr>
        <w:t xml:space="preserve">12</w:t>
      </w:r>
    </w:p>
    <w:p>
      <w:pPr/>
      <w:r>
        <w:rPr>
          <w:rFonts w:ascii="Times New Roman" w:hAnsi="Times New Roman" w:cs="Times New Roman"/>
          <w:sz w:val="28"/>
          <w:sz-cs w:val="28"/>
          <w:spacing w:val="0"/>
          <w:color w:val="0E121D"/>
        </w:rPr>
        <w:t xml:space="preserve">1</w:t>
      </w:r>
    </w:p>
    <w:p>
      <w:pPr/>
      <w:r>
        <w:rPr>
          <w:rFonts w:ascii="Times New Roman" w:hAnsi="Times New Roman" w:cs="Times New Roman"/>
          <w:sz w:val="28"/>
          <w:sz-cs w:val="28"/>
          <w:spacing w:val="0"/>
          <w:color w:val="0E121D"/>
        </w:rPr>
        <w:t xml:space="preserve">2023</w:t>
      </w:r>
    </w:p>
    <w:p>
      <w:pPr/>
      <w:r>
        <w:rPr>
          <w:rFonts w:ascii="Times New Roman" w:hAnsi="Times New Roman" w:cs="Times New Roman"/>
          <w:sz w:val="28"/>
          <w:sz-cs w:val="28"/>
          <w:spacing w:val="0"/>
          <w:color w:val="0E121D"/>
        </w:rPr>
        <w:t xml:space="preserve">3.7748</w:t>
      </w:r>
    </w:p>
    <w:p>
      <w:pPr/>
      <w:r>
        <w:rPr>
          <w:rFonts w:ascii="Times New Roman" w:hAnsi="Times New Roman" w:cs="Times New Roman"/>
          <w:sz w:val="28"/>
          <w:sz-cs w:val="28"/>
          <w:spacing w:val="0"/>
          <w:color w:val="0E121D"/>
        </w:rPr>
        <w:t xml:space="preserve">3.0769</w:t>
      </w:r>
    </w:p>
    <w:p>
      <w:pPr/>
      <w:r>
        <w:rPr>
          <w:rFonts w:ascii="Times New Roman" w:hAnsi="Times New Roman" w:cs="Times New Roman"/>
          <w:sz w:val="28"/>
          <w:sz-cs w:val="28"/>
          <w:spacing w:val="0"/>
          <w:color w:val="0E121D"/>
        </w:rPr>
        <w:t xml:space="preserve">12</w:t>
      </w:r>
    </w:p>
    <w:p>
      <w:pPr/>
      <w:r>
        <w:rPr>
          <w:rFonts w:ascii="Times New Roman" w:hAnsi="Times New Roman" w:cs="Times New Roman"/>
          <w:sz w:val="28"/>
          <w:sz-cs w:val="28"/>
          <w:spacing w:val="0"/>
          <w:color w:val="0E121D"/>
        </w:rPr>
        <w:t xml:space="preserve">1</w:t>
      </w:r>
    </w:p>
    <w:p>
      <w:pPr/>
      <w:r>
        <w:rPr>
          <w:rFonts w:ascii="Times New Roman" w:hAnsi="Times New Roman" w:cs="Times New Roman"/>
          <w:sz w:val="28"/>
          <w:sz-cs w:val="28"/>
          <w:spacing w:val="0"/>
          <w:color w:val="0E121D"/>
        </w:rPr>
        <w:t xml:space="preserve">2024</w:t>
      </w:r>
    </w:p>
    <w:p>
      <w:pPr/>
      <w:r>
        <w:rPr>
          <w:rFonts w:ascii="Times New Roman" w:hAnsi="Times New Roman" w:cs="Times New Roman"/>
          <w:sz w:val="28"/>
          <w:sz-cs w:val="28"/>
          <w:spacing w:val="0"/>
          <w:color w:val="0E121D"/>
        </w:rPr>
        <w:t xml:space="preserve">2.9148</w:t>
      </w:r>
    </w:p>
    <w:p>
      <w:pPr/>
      <w:r>
        <w:rPr>
          <w:rFonts w:ascii="Times New Roman" w:hAnsi="Times New Roman" w:cs="Times New Roman"/>
          <w:sz w:val="28"/>
          <w:sz-cs w:val="28"/>
          <w:spacing w:val="0"/>
          <w:color w:val="0E121D"/>
        </w:rPr>
        <w:t xml:space="preserve">2.1933</w:t>
      </w:r>
    </w:p>
    <w:p>
      <w:pPr/>
      <w:r>
        <w:rPr>
          <w:rFonts w:ascii="Times New Roman" w:hAnsi="Times New Roman" w:cs="Times New Roman"/>
          <w:sz w:val="28"/>
          <w:sz-cs w:val="28"/>
          <w:spacing w:val="0"/>
          <w:color w:val="0E121D"/>
        </w:rPr>
        <w:t xml:space="preserve">12</w:t>
      </w:r>
    </w:p>
    <w:p>
      <w:pPr/>
      <w:r>
        <w:rPr>
          <w:rFonts w:ascii="Times New Roman" w:hAnsi="Times New Roman" w:cs="Times New Roman"/>
          <w:sz w:val="28"/>
          <w:sz-cs w:val="28"/>
          <w:spacing w:val="0"/>
          <w:color w:val="0E121D"/>
        </w:rPr>
        <w:t xml:space="preserve">1</w:t>
      </w:r>
    </w:p>
    <w:p>
      <w:pPr/>
      <w:r>
        <w:rPr>
          <w:rFonts w:ascii="Times New Roman" w:hAnsi="Times New Roman" w:cs="Times New Roman"/>
          <w:sz w:val="28"/>
          <w:sz-cs w:val="28"/>
          <w:spacing w:val="0"/>
          <w:color w:val="0E121D"/>
        </w:rPr>
        <w:t xml:space="preserve">2025</w:t>
      </w:r>
    </w:p>
    <w:p>
      <w:pPr/>
      <w:r>
        <w:rPr>
          <w:rFonts w:ascii="Times New Roman" w:hAnsi="Times New Roman" w:cs="Times New Roman"/>
          <w:sz w:val="28"/>
          <w:sz-cs w:val="28"/>
          <w:spacing w:val="0"/>
          <w:color w:val="0E121D"/>
        </w:rPr>
        <w:t xml:space="preserve">2.7282</w:t>
      </w:r>
    </w:p>
    <w:p>
      <w:pPr/>
      <w:r>
        <w:rPr>
          <w:rFonts w:ascii="Times New Roman" w:hAnsi="Times New Roman" w:cs="Times New Roman"/>
          <w:sz w:val="28"/>
          <w:sz-cs w:val="28"/>
          <w:spacing w:val="0"/>
          <w:color w:val="0E121D"/>
        </w:rPr>
        <w:t xml:space="preserve">1.4604</w:t>
      </w:r>
    </w:p>
    <w:p>
      <w:pPr/>
      <w:r>
        <w:rPr>
          <w:rFonts w:ascii="Times New Roman" w:hAnsi="Times New Roman" w:cs="Times New Roman"/>
          <w:sz w:val="28"/>
          <w:sz-cs w:val="28"/>
          <w:spacing w:val="0"/>
          <w:color w:val="0E121D"/>
        </w:rPr>
        <w:t xml:space="preserve">6</w:t>
      </w:r>
    </w:p>
    <w:p>
      <w:pPr/>
      <w:r>
        <w:rPr>
          <w:rFonts w:ascii="Times New Roman" w:hAnsi="Times New Roman" w:cs="Times New Roman"/>
          <w:sz w:val="28"/>
          <w:sz-cs w:val="28"/>
          <w:spacing w:val="0"/>
          <w:color w:val="0E121D"/>
        </w:rPr>
        <w:t xml:space="preserve">0</w:t>
      </w:r>
    </w:p>
    <w:p>
      <w:pPr>
        <w:spacing w:after="170"/>
      </w:pPr>
      <w:r>
        <w:rPr>
          <w:rFonts w:ascii="Times New Roman" w:hAnsi="Times New Roman" w:cs="Times New Roman"/>
          <w:sz w:val="42"/>
          <w:sz-cs w:val="42"/>
          <w:b/>
          <w:spacing w:val="0"/>
          <w:color w:val="0D121F"/>
        </w:rPr>
        <w:t xml:space="preserve">5. Interpretation and Practical Implications</w:t>
      </w:r>
    </w:p>
    <w:p>
      <w:pPr>
        <w:jc w:val="both"/>
        <w:spacing w:after="320"/>
      </w:pPr>
      <w:r>
        <w:rPr>
          <w:rFonts w:ascii="Times New Roman" w:hAnsi="Times New Roman" w:cs="Times New Roman"/>
          <w:sz w:val="32"/>
          <w:sz-cs w:val="32"/>
          <w:spacing w:val="0"/>
          <w:color w:val="0E121D"/>
        </w:rPr>
        <w:t xml:space="preserve">The evidence is most consistent with </w:t>
      </w:r>
      <w:r>
        <w:rPr>
          <w:rFonts w:ascii="Times New Roman" w:hAnsi="Times New Roman" w:cs="Times New Roman"/>
          <w:sz w:val="32"/>
          <w:sz-cs w:val="32"/>
          <w:b/>
          <w:spacing w:val="0"/>
          <w:color w:val="0E121D"/>
        </w:rPr>
        <w:t xml:space="preserve">continued expansion in levels with structural moderation in growth rates</w:t>
      </w:r>
      <w:r>
        <w:rPr>
          <w:rFonts w:ascii="Times New Roman" w:hAnsi="Times New Roman" w:cs="Times New Roman"/>
          <w:sz w:val="32"/>
          <w:sz-cs w:val="32"/>
          <w:spacing w:val="0"/>
          <w:color w:val="0E121D"/>
        </w:rPr>
        <w:t xml:space="preserve">. UPI is not shrinking, and it is not plateauing in any literal transaction-count sense. Rather, its percentage growth is lower because the base is now extremely large. That distinction matters operationally. At the latest official RBI month, 2025-12, UPI handles approximately 21.63 billion transactions and ₹27.97 trillion in a single month.</w:t>
      </w:r>
    </w:p>
    <w:p>
      <w:pPr>
        <w:jc w:val="both"/>
        <w:ind w:left="720" w:first-line="-720"/>
      </w:pPr>
      <w:r>
        <w:rPr>
          <w:rFonts w:ascii="Times New Roman" w:hAnsi="Times New Roman" w:cs="Times New Roman"/>
          <w:sz w:val="32"/>
          <w:sz-cs w:val="32"/>
          <w:b/>
          <w:color w:val="0E121D"/>
        </w:rPr>
        <w:t xml:space="preserve"/>
        <w:tab/>
        <w:t xml:space="preserve">•</w:t>
        <w:tab/>
        <w:t xml:space="preserve"/>
      </w:r>
      <w:r>
        <w:rPr>
          <w:rFonts w:ascii="Times New Roman" w:hAnsi="Times New Roman" w:cs="Times New Roman"/>
          <w:sz w:val="32"/>
          <w:sz-cs w:val="32"/>
          <w:b/>
          <w:spacing w:val="0"/>
          <w:color w:val="0E121D"/>
        </w:rPr>
        <w:t xml:space="preserve">Infrastructure:</w:t>
      </w:r>
      <w:r>
        <w:rPr>
          <w:rFonts w:ascii="Times New Roman" w:hAnsi="Times New Roman" w:cs="Times New Roman"/>
          <w:sz w:val="32"/>
          <w:sz-cs w:val="32"/>
          <w:spacing w:val="0"/>
          <w:color w:val="0E121D"/>
        </w:rPr>
        <w:t xml:space="preserve"> planning should focus on absolute transaction load, not growth rates alone.</w:t>
      </w:r>
    </w:p>
    <w:p>
      <w:pPr>
        <w:jc w:val="both"/>
        <w:ind w:left="720" w:first-line="-720"/>
      </w:pPr>
      <w:r>
        <w:rPr>
          <w:rFonts w:ascii="Times New Roman" w:hAnsi="Times New Roman" w:cs="Times New Roman"/>
          <w:sz w:val="32"/>
          <w:sz-cs w:val="32"/>
          <w:b/>
          <w:color w:val="0E121D"/>
        </w:rPr>
        <w:t xml:space="preserve"/>
        <w:tab/>
        <w:t xml:space="preserve">•</w:t>
        <w:tab/>
        <w:t xml:space="preserve"/>
      </w:r>
      <w:r>
        <w:rPr>
          <w:rFonts w:ascii="Times New Roman" w:hAnsi="Times New Roman" w:cs="Times New Roman"/>
          <w:sz w:val="32"/>
          <w:sz-cs w:val="32"/>
          <w:b/>
          <w:spacing w:val="0"/>
          <w:color w:val="0E121D"/>
        </w:rPr>
        <w:t xml:space="preserve">Risk monitoring:</w:t>
      </w:r>
      <w:r>
        <w:rPr>
          <w:rFonts w:ascii="Times New Roman" w:hAnsi="Times New Roman" w:cs="Times New Roman"/>
          <w:sz w:val="32"/>
          <w:sz-cs w:val="32"/>
          <w:spacing w:val="0"/>
          <w:color w:val="0E121D"/>
        </w:rPr>
        <w:t xml:space="preserve"> October and December spikes, plus weekly dependence in daily data, imply predictable peak-risk windows.</w:t>
      </w:r>
    </w:p>
    <w:p>
      <w:pPr>
        <w:jc w:val="both"/>
        <w:ind w:left="720" w:first-line="-720"/>
      </w:pPr>
      <w:r>
        <w:rPr>
          <w:rFonts w:ascii="Times New Roman" w:hAnsi="Times New Roman" w:cs="Times New Roman"/>
          <w:sz w:val="32"/>
          <w:sz-cs w:val="32"/>
          <w:b/>
          <w:color w:val="0E121D"/>
        </w:rPr>
        <w:t xml:space="preserve"/>
        <w:tab/>
        <w:t xml:space="preserve">•</w:t>
        <w:tab/>
        <w:t xml:space="preserve"/>
      </w:r>
      <w:r>
        <w:rPr>
          <w:rFonts w:ascii="Times New Roman" w:hAnsi="Times New Roman" w:cs="Times New Roman"/>
          <w:sz w:val="32"/>
          <w:sz-cs w:val="32"/>
          <w:b/>
          <w:spacing w:val="0"/>
          <w:color w:val="0E121D"/>
        </w:rPr>
        <w:t xml:space="preserve">Policy interpretation:</w:t>
      </w:r>
      <w:r>
        <w:rPr>
          <w:rFonts w:ascii="Times New Roman" w:hAnsi="Times New Roman" w:cs="Times New Roman"/>
          <w:sz w:val="32"/>
          <w:sz-cs w:val="32"/>
          <w:spacing w:val="0"/>
          <w:color w:val="0E121D"/>
        </w:rPr>
        <w:t xml:space="preserve"> lower growth should be read as maturation on scale, not as deterioration in digital payments adoption.</w:t>
      </w:r>
    </w:p>
    <w:p>
      <w:pPr>
        <w:spacing w:after="170"/>
      </w:pPr>
      <w:r>
        <w:rPr>
          <w:rFonts w:ascii="Times New Roman" w:hAnsi="Times New Roman" w:cs="Times New Roman"/>
          <w:sz w:val="42"/>
          <w:sz-cs w:val="42"/>
          <w:b/>
          <w:spacing w:val="0"/>
          <w:color w:val="0D121F"/>
        </w:rPr>
        <w:t xml:space="preserve">6. Limitations</w:t>
      </w:r>
    </w:p>
    <w:p>
      <w:pPr>
        <w:jc w:val="both"/>
        <w:spacing w:after="320"/>
      </w:pPr>
      <w:r>
        <w:rPr>
          <w:rFonts w:ascii="Times New Roman" w:hAnsi="Times New Roman" w:cs="Times New Roman"/>
          <w:sz w:val="32"/>
          <w:sz-cs w:val="32"/>
          <w:spacing w:val="0"/>
          <w:color w:val="0E121D"/>
        </w:rPr>
        <w:t xml:space="preserve">The daily panel ends in July 2025, so the monthly inference sample stops there even though official RBI monthly levels continue through December 2025. Festival measurement is also intentionally simple: October to December is a coarse proxy and does not capture the shifting timing of Diwali and related events. Finally, the statistical tests here are descriptive-inferential rather than structural models of user adoption or merchant behavior.</w:t>
      </w:r>
    </w:p>
    <w:p>
      <w:pPr>
        <w:spacing w:after="170"/>
      </w:pPr>
      <w:r>
        <w:rPr>
          <w:rFonts w:ascii="Times New Roman" w:hAnsi="Times New Roman" w:cs="Times New Roman"/>
          <w:sz w:val="42"/>
          <w:sz-cs w:val="42"/>
          <w:b/>
          <w:spacing w:val="0"/>
          <w:color w:val="0D121F"/>
        </w:rPr>
        <w:t xml:space="preserve">7. Conclusion</w:t>
      </w:r>
    </w:p>
    <w:p>
      <w:pPr>
        <w:jc w:val="both"/>
        <w:spacing w:after="320"/>
      </w:pPr>
      <w:r>
        <w:rPr>
          <w:rFonts w:ascii="Times New Roman" w:hAnsi="Times New Roman" w:cs="Times New Roman"/>
          <w:sz w:val="32"/>
          <w:sz-cs w:val="32"/>
          <w:spacing w:val="0"/>
          <w:color w:val="0E121D"/>
        </w:rPr>
        <w:t xml:space="preserve">The project’s answer is straightforward. India’s UPI story is no longer one of uniformly high percentage growth, but neither is it a stagnation story. The system has entered a mature high-scale phase: absolute usage continues to rise rapidly, while monthly percentage growth is structurally lower than in the pre-2022 period. That is the right interpretation for a thesis-level statistical inference report grounded in current RBI data.</w:t>
      </w:r>
    </w:p>
    <w:p>
      <w:pPr>
        <w:spacing w:after="170"/>
      </w:pPr>
      <w:r>
        <w:rPr>
          <w:rFonts w:ascii="Times New Roman" w:hAnsi="Times New Roman" w:cs="Times New Roman"/>
          <w:sz w:val="42"/>
          <w:sz-cs w:val="42"/>
          <w:b/>
          <w:spacing w:val="0"/>
          <w:color w:val="0D121F"/>
        </w:rPr>
        <w:t xml:space="preserve">References</w:t>
      </w:r>
    </w:p>
    <w:p>
      <w:pPr>
        <w:jc w:val="both"/>
        <w:spacing w:after="320"/>
      </w:pPr>
      <w:r>
        <w:rPr>
          <w:rFonts w:ascii="Times New Roman" w:hAnsi="Times New Roman" w:cs="Times New Roman"/>
          <w:sz w:val="32"/>
          <w:sz-cs w:val="32"/>
          <w:spacing w:val="0"/>
          <w:color w:val="0E121D"/>
        </w:rPr>
        <w:t xml:space="preserve">Project repository with code, cleaned data, figures, notebook, and report files: </w:t>
      </w:r>
      <w:r>
        <w:rPr>
          <w:rFonts w:ascii="Times New Roman" w:hAnsi="Times New Roman" w:cs="Times New Roman"/>
          <w:sz w:val="32"/>
          <w:sz-cs w:val="32"/>
          <w:u w:val="single"/>
          <w:spacing w:val="0"/>
          <w:color w:val="0000E9"/>
        </w:rPr>
        <w:t xml:space="preserve">https://github.com/brownhat16/exercise2</w:t>
      </w:r>
      <w:r>
        <w:rPr>
          <w:rFonts w:ascii="Times New Roman" w:hAnsi="Times New Roman" w:cs="Times New Roman"/>
          <w:sz w:val="32"/>
          <w:sz-cs w:val="32"/>
          <w:spacing w:val="0"/>
          <w:color w:val="0E121D"/>
        </w:rPr>
        <w:t xml:space="preserve"/>
      </w:r>
    </w:p>
    <w:p>
      <w:pPr>
        <w:jc w:val="both"/>
        <w:ind w:left="720" w:first-line="-720"/>
        <w:spacing w:after="160"/>
      </w:pPr>
      <w:r>
        <w:rPr>
          <w:rFonts w:ascii="Times New Roman" w:hAnsi="Times New Roman" w:cs="Times New Roman"/>
          <w:sz w:val="32"/>
          <w:sz-cs w:val="32"/>
          <w:color w:val="0E121D"/>
        </w:rPr>
        <w:t xml:space="preserve"/>
        <w:tab/>
        <w:t xml:space="preserve">1</w:t>
        <w:tab/>
        <w:t xml:space="preserve"/>
      </w:r>
      <w:r>
        <w:rPr>
          <w:rFonts w:ascii="Times New Roman" w:hAnsi="Times New Roman" w:cs="Times New Roman"/>
          <w:sz w:val="32"/>
          <w:sz-cs w:val="32"/>
          <w:spacing w:val="0"/>
          <w:color w:val="0E121D"/>
        </w:rPr>
        <w:t xml:space="preserve">Reserve Bank of India. </w:t>
      </w:r>
      <w:r>
        <w:rPr>
          <w:rFonts w:ascii="Times New Roman" w:hAnsi="Times New Roman" w:cs="Times New Roman"/>
          <w:sz w:val="32"/>
          <w:sz-cs w:val="32"/>
          <w:i/>
          <w:spacing w:val="0"/>
          <w:color w:val="0E121D"/>
        </w:rPr>
        <w:t xml:space="preserve">Payment System Indicators</w:t>
      </w:r>
      <w:r>
        <w:rPr>
          <w:rFonts w:ascii="Times New Roman" w:hAnsi="Times New Roman" w:cs="Times New Roman"/>
          <w:sz w:val="32"/>
          <w:sz-cs w:val="32"/>
          <w:spacing w:val="0"/>
          <w:color w:val="0E121D"/>
        </w:rPr>
        <w:t xml:space="preserve">. https://www.rbi.org.in/Scripts/PSIUserView.aspx?Id=47</w:t>
      </w:r>
    </w:p>
    <w:p>
      <w:pPr>
        <w:jc w:val="both"/>
        <w:ind w:left="720" w:first-line="-720"/>
        <w:spacing w:after="160"/>
      </w:pPr>
      <w:r>
        <w:rPr>
          <w:rFonts w:ascii="Times New Roman" w:hAnsi="Times New Roman" w:cs="Times New Roman"/>
          <w:sz w:val="32"/>
          <w:sz-cs w:val="32"/>
          <w:color w:val="0E121D"/>
        </w:rPr>
        <w:t xml:space="preserve"/>
        <w:tab/>
        <w:t xml:space="preserve">2</w:t>
        <w:tab/>
        <w:t xml:space="preserve"/>
      </w:r>
      <w:r>
        <w:rPr>
          <w:rFonts w:ascii="Times New Roman" w:hAnsi="Times New Roman" w:cs="Times New Roman"/>
          <w:sz w:val="32"/>
          <w:sz-cs w:val="32"/>
          <w:spacing w:val="0"/>
          <w:color w:val="0E121D"/>
        </w:rPr>
        <w:t xml:space="preserve">Reserve Bank of India. </w:t>
      </w:r>
      <w:r>
        <w:rPr>
          <w:rFonts w:ascii="Times New Roman" w:hAnsi="Times New Roman" w:cs="Times New Roman"/>
          <w:sz w:val="32"/>
          <w:sz-cs w:val="32"/>
          <w:i/>
          <w:spacing w:val="0"/>
          <w:color w:val="0E121D"/>
        </w:rPr>
        <w:t xml:space="preserve">Database on Indian Economy (DBIE)</w:t>
      </w:r>
      <w:r>
        <w:rPr>
          <w:rFonts w:ascii="Times New Roman" w:hAnsi="Times New Roman" w:cs="Times New Roman"/>
          <w:sz w:val="32"/>
          <w:sz-cs w:val="32"/>
          <w:spacing w:val="0"/>
          <w:color w:val="0E121D"/>
        </w:rPr>
        <w:t xml:space="preserve">. https://data.rbi.org.in</w:t>
      </w:r>
    </w:p>
    <w:p>
      <w:pPr>
        <w:jc w:val="both"/>
        <w:ind w:left="720" w:first-line="-720"/>
        <w:spacing w:after="160"/>
      </w:pPr>
      <w:r>
        <w:rPr>
          <w:rFonts w:ascii="Times New Roman" w:hAnsi="Times New Roman" w:cs="Times New Roman"/>
          <w:sz w:val="32"/>
          <w:sz-cs w:val="32"/>
          <w:color w:val="0E121D"/>
        </w:rPr>
        <w:t xml:space="preserve"/>
        <w:tab/>
        <w:t xml:space="preserve">3</w:t>
        <w:tab/>
        <w:t xml:space="preserve"/>
      </w:r>
      <w:r>
        <w:rPr>
          <w:rFonts w:ascii="Times New Roman" w:hAnsi="Times New Roman" w:cs="Times New Roman"/>
          <w:sz w:val="32"/>
          <w:sz-cs w:val="32"/>
          <w:spacing w:val="0"/>
          <w:color w:val="0E121D"/>
        </w:rPr>
        <w:t xml:space="preserve">Press Information Bureau. </w:t>
      </w:r>
      <w:r>
        <w:rPr>
          <w:rFonts w:ascii="Times New Roman" w:hAnsi="Times New Roman" w:cs="Times New Roman"/>
          <w:sz w:val="32"/>
          <w:sz-cs w:val="32"/>
          <w:i/>
          <w:spacing w:val="0"/>
          <w:color w:val="0E121D"/>
        </w:rPr>
        <w:t xml:space="preserve">UPI: Revolutionizing Digital Payments in India</w:t>
      </w:r>
      <w:r>
        <w:rPr>
          <w:rFonts w:ascii="Times New Roman" w:hAnsi="Times New Roman" w:cs="Times New Roman"/>
          <w:sz w:val="32"/>
          <w:sz-cs w:val="32"/>
          <w:spacing w:val="0"/>
          <w:color w:val="0E121D"/>
        </w:rPr>
        <w:t xml:space="preserve">. https://www.pib.gov.in/PressReleaseIframePage.aspx?PRID=2079544</w:t>
      </w:r>
    </w:p>
    <w:p>
      <w:pPr>
        <w:jc w:val="both"/>
        <w:ind w:left="720" w:first-line="-720"/>
        <w:spacing w:after="160"/>
      </w:pPr>
      <w:r>
        <w:rPr>
          <w:rFonts w:ascii="Times New Roman" w:hAnsi="Times New Roman" w:cs="Times New Roman"/>
          <w:sz w:val="32"/>
          <w:sz-cs w:val="32"/>
          <w:color w:val="0E121D"/>
        </w:rPr>
        <w:t xml:space="preserve"/>
        <w:tab/>
        <w:t xml:space="preserve">4</w:t>
        <w:tab/>
        <w:t xml:space="preserve"/>
      </w:r>
      <w:r>
        <w:rPr>
          <w:rFonts w:ascii="Times New Roman" w:hAnsi="Times New Roman" w:cs="Times New Roman"/>
          <w:sz w:val="32"/>
          <w:sz-cs w:val="32"/>
          <w:spacing w:val="0"/>
          <w:color w:val="0E121D"/>
        </w:rPr>
        <w:t xml:space="preserve">RBI-style daily payments datastore, resource id </w:t>
      </w:r>
      <w:r>
        <w:rPr>
          <w:rFonts w:ascii="Menlo" w:hAnsi="Menlo" w:cs="Menlo"/>
          <w:sz w:val="32"/>
          <w:sz-cs w:val="32"/>
          <w:spacing w:val="0"/>
          <w:color w:val="0E121D"/>
        </w:rPr>
        <w:t xml:space="preserve">1f9367ac-01b0-4c82-83a1-4069d4340667</w:t>
      </w:r>
      <w:r>
        <w:rPr>
          <w:rFonts w:ascii="Times New Roman" w:hAnsi="Times New Roman" w:cs="Times New Roman"/>
          <w:sz w:val="32"/>
          <w:sz-cs w:val="32"/>
          <w:spacing w:val="0"/>
          <w:color w:val="0E121D"/>
        </w:rPr>
        <w:t xml:space="preserve">, used only after direct validation against the official RBI monthly archive.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