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8.png" ContentType="image/png"/>
  <Override PartName="/word/media/rId51.png" ContentType="image/png"/>
  <Override PartName="/word/media/rId23.png" ContentType="image/png"/>
  <Override PartName="/word/media/rId31.png" ContentType="image/png"/>
  <Override PartName="/word/media/rId40.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Spatial</w:t>
      </w:r>
      <w:r>
        <w:t xml:space="preserve"> </w:t>
      </w:r>
      <w:r>
        <w:t xml:space="preserve">Autocorrelation</w:t>
      </w:r>
      <w:r>
        <w:t xml:space="preserve"> </w:t>
      </w:r>
      <w:r>
        <w:t xml:space="preserve">II</w:t>
      </w:r>
    </w:p>
    <w:p>
      <w:r>
        <w:pict>
          <v:rect style="width:0;height:1.5pt" o:hralign="center" o:hrstd="t" o:hr="t"/>
        </w:pict>
      </w:r>
    </w:p>
    <w:bookmarkStart w:id="28" w:name="what-is-spatial-autocorrelation"/>
    <w:p>
      <w:pPr>
        <w:pStyle w:val="Heading1"/>
      </w:pPr>
      <w:r>
        <w:t xml:space="preserve">What is Spatial Autocorrelation?</w:t>
      </w:r>
    </w:p>
    <w:p>
      <w:pPr>
        <w:pStyle w:val="FirstParagraph"/>
      </w:pPr>
      <w:r>
        <w:t xml:space="preserve">In the previous R Module, we introduced the idea of calculating a</w:t>
      </w:r>
      <w:r>
        <w:t xml:space="preserve"> </w:t>
      </w:r>
      <w:r>
        <w:t xml:space="preserve">“</w:t>
      </w:r>
      <w:r>
        <w:t xml:space="preserve">spatial neighborhood</w:t>
      </w:r>
      <w:r>
        <w:t xml:space="preserve">”</w:t>
      </w:r>
      <w:r>
        <w:t xml:space="preserve"> </w:t>
      </w:r>
      <w:r>
        <w:t xml:space="preserve">and the need for a formal definition of this neighborhood prior to spatial autocorrelation testing. Although these constructs are relatively easy to make in R with the</w:t>
      </w:r>
      <w:r>
        <w:t xml:space="preserve"> </w:t>
      </w:r>
      <w:r>
        <w:rPr>
          <w:rStyle w:val="VerbatimChar"/>
        </w:rPr>
        <w:t xml:space="preserve">spdep</w:t>
      </w:r>
      <w:r>
        <w:t xml:space="preserve"> </w:t>
      </w:r>
      <w:r>
        <w:t xml:space="preserve">package, we have a lot of options; which method is best? Unfortunately, there isn’t a single best method to use; it depends on the data you have, the scale you’re looking at, and what you wish to accomplish.</w:t>
      </w:r>
    </w:p>
    <w:p>
      <w:pPr>
        <w:pStyle w:val="BodyText"/>
      </w:pPr>
      <w:r>
        <w:t xml:space="preserve">Therefore, the results of spatial autocorrelation testing depend heavily on the choices for your spatial neighborhood. The best recourse is to first theorize the spatial form of the process you’re investigating and to test several spatial neighbor constructs to see if your results change significantly when your neighborhoods change.</w:t>
      </w:r>
    </w:p>
    <w:bookmarkStart w:id="27" w:name="assigning-weights"/>
    <w:p>
      <w:pPr>
        <w:pStyle w:val="Heading2"/>
      </w:pPr>
      <w:r>
        <w:t xml:space="preserve">Assigning Weights</w:t>
      </w:r>
    </w:p>
    <w:p>
      <w:pPr>
        <w:pStyle w:val="FirstParagraph"/>
      </w:pPr>
      <w:r>
        <w:t xml:space="preserve">Before we test spatial autocorrelation on our data, there’s another step for us to perform after we create our neighbor constructs – our spatial weights matrix</w:t>
      </w:r>
      <w:r>
        <w:t xml:space="preserve"> </w:t>
      </w:r>
      <m:oMath>
        <m:sSub>
          <m:e>
            <m:r>
              <m:t>W</m:t>
            </m:r>
          </m:e>
          <m:sub>
            <m:r>
              <m:t>i</m:t>
            </m:r>
            <m:r>
              <m:t>j</m:t>
            </m:r>
          </m:sub>
        </m:sSub>
      </m:oMath>
      <w:r>
        <w:t xml:space="preserve">. Recall from the previous Module that</w:t>
      </w:r>
      <w:r>
        <w:t xml:space="preserve"> </w:t>
      </w:r>
      <m:oMath>
        <m:sSub>
          <m:e>
            <m:r>
              <m:t>W</m:t>
            </m:r>
          </m:e>
          <m:sub>
            <m:r>
              <m:t>i</m:t>
            </m:r>
            <m:r>
              <m:t>j</m:t>
            </m:r>
          </m:sub>
        </m:sSub>
      </m:oMath>
      <w:r>
        <w:t xml:space="preserve"> </w:t>
      </w:r>
      <w:r>
        <w:t xml:space="preserve">is an</w:t>
      </w:r>
      <w:r>
        <w:t xml:space="preserve"> </w:t>
      </w:r>
      <m:oMath>
        <m:r>
          <m:t>n</m:t>
        </m:r>
        <m:r>
          <m:rPr>
            <m:sty m:val="p"/>
          </m:rPr>
          <m:t>×</m:t>
        </m:r>
        <m:r>
          <m:t>n</m:t>
        </m:r>
      </m:oMath>
      <w:r>
        <w:t xml:space="preserve"> </w:t>
      </w:r>
      <w:r>
        <w:t xml:space="preserve">matrix, where</w:t>
      </w:r>
      <w:r>
        <w:t xml:space="preserve"> </w:t>
      </w:r>
      <m:oMath>
        <m:r>
          <m:t>n</m:t>
        </m:r>
      </m:oMath>
      <w:r>
        <w:t xml:space="preserve"> </w:t>
      </w:r>
      <w:r>
        <w:t xml:space="preserve">is the number of spatial units (points or areas). The cells of the matrix record the presence or absence of connections as a binary measure;</w:t>
      </w:r>
      <w:r>
        <w:t xml:space="preserve"> </w:t>
      </w:r>
      <m:oMath>
        <m:r>
          <m:t>0</m:t>
        </m:r>
      </m:oMath>
      <w:r>
        <w:t xml:space="preserve"> </w:t>
      </w:r>
      <w:r>
        <w:t xml:space="preserve">indicates no connection between the two units, and</w:t>
      </w:r>
      <w:r>
        <w:t xml:space="preserve"> </w:t>
      </w:r>
      <m:oMath>
        <m:r>
          <m:t>1</m:t>
        </m:r>
      </m:oMath>
      <w:r>
        <w:t xml:space="preserve"> </w:t>
      </w:r>
      <w:r>
        <w:t xml:space="preserve">indicates a connection.</w:t>
      </w:r>
    </w:p>
    <w:p>
      <w:pPr>
        <w:pStyle w:val="BodyText"/>
      </w:pPr>
      <w:r>
        <w:t xml:space="preserve">We use binary measures because it’s often difficult to determine the</w:t>
      </w:r>
      <w:r>
        <w:t xml:space="preserve"> </w:t>
      </w:r>
      <w:r>
        <w:t xml:space="preserve">“</w:t>
      </w:r>
      <w:r>
        <w:t xml:space="preserve">relative influence</w:t>
      </w:r>
      <w:r>
        <w:t xml:space="preserve">”</w:t>
      </w:r>
      <w:r>
        <w:t xml:space="preserve"> </w:t>
      </w:r>
      <w:r>
        <w:t xml:space="preserve">of spatial units on one another – North Carolina, for example, borders both Virginia and Georgia, but its border with Virginia is much longer. So, rather than guess the value, we start with a binary measure; either there exists a connection or there doesn’t.</w:t>
      </w:r>
    </w:p>
    <w:p>
      <w:pPr>
        <w:pStyle w:val="BodyText"/>
      </w:pPr>
      <w:r>
        <w:t xml:space="preserve">Suppose we had a study region that consisted of five counties and we applied one of the neighborhood criteria from last R Module. Our</w:t>
      </w:r>
      <w:r>
        <w:t xml:space="preserve"> </w:t>
      </w:r>
      <m:oMath>
        <m:sSub>
          <m:e>
            <m:r>
              <m:t>W</m:t>
            </m:r>
          </m:e>
          <m:sub>
            <m:r>
              <m:t>i</m:t>
            </m:r>
            <m:r>
              <m:t>j</m:t>
            </m:r>
          </m:sub>
        </m:sSub>
      </m:oMath>
      <w:r>
        <w:t xml:space="preserve"> </w:t>
      </w:r>
      <w:r>
        <w:t xml:space="preserve">would be a</w:t>
      </w:r>
      <w:r>
        <w:t xml:space="preserve"> </w:t>
      </w:r>
      <m:oMath>
        <m:r>
          <m:t>5</m:t>
        </m:r>
        <m:r>
          <m:rPr>
            <m:sty m:val="p"/>
          </m:rPr>
          <m:t>×</m:t>
        </m:r>
        <m:r>
          <m:t>5</m:t>
        </m:r>
      </m:oMath>
      <w:r>
        <w:t xml:space="preserve"> </w:t>
      </w:r>
      <w:r>
        <w:t xml:space="preserve">matrix, with cell values of either</w:t>
      </w:r>
      <w:r>
        <w:t xml:space="preserve"> </w:t>
      </w:r>
      <m:oMath>
        <m:r>
          <m:t>0</m:t>
        </m:r>
      </m:oMath>
      <w:r>
        <w:t xml:space="preserve"> </w:t>
      </w:r>
      <w:r>
        <w:t xml:space="preserve">or</w:t>
      </w:r>
      <w:r>
        <w:t xml:space="preserve"> </w:t>
      </w:r>
      <m:oMath>
        <m:r>
          <m:t>1</m:t>
        </m:r>
      </m:oMath>
      <w:r>
        <w:t xml:space="preserve">, and might look something like this:</w:t>
      </w:r>
    </w:p>
    <w:p>
      <w:pPr>
        <w:pStyle w:val="BodyText"/>
      </w:pPr>
      <w:r>
        <w:drawing>
          <wp:inline>
            <wp:extent cx="2635623" cy="2804672"/>
            <wp:effectExtent b="0" l="0" r="0" t="0"/>
            <wp:docPr descr="" title="" id="21" name="Picture"/>
            <a:graphic>
              <a:graphicData uri="http://schemas.openxmlformats.org/drawingml/2006/picture">
                <pic:pic>
                  <pic:nvPicPr>
                    <pic:cNvPr descr="img/R%20Module%209/weights-matrix.png" id="22" name="Picture"/>
                    <pic:cNvPicPr>
                      <a:picLocks noChangeArrowheads="1" noChangeAspect="1"/>
                    </pic:cNvPicPr>
                  </pic:nvPicPr>
                  <pic:blipFill>
                    <a:blip r:embed="rId20"/>
                    <a:stretch>
                      <a:fillRect/>
                    </a:stretch>
                  </pic:blipFill>
                  <pic:spPr bwMode="auto">
                    <a:xfrm>
                      <a:off x="0" y="0"/>
                      <a:ext cx="2635623" cy="2804672"/>
                    </a:xfrm>
                    <a:prstGeom prst="rect">
                      <a:avLst/>
                    </a:prstGeom>
                    <a:noFill/>
                    <a:ln w="9525">
                      <a:noFill/>
                      <a:headEnd/>
                      <a:tailEnd/>
                    </a:ln>
                  </pic:spPr>
                </pic:pic>
              </a:graphicData>
            </a:graphic>
          </wp:inline>
        </w:drawing>
      </w:r>
    </w:p>
    <w:bookmarkStart w:id="26" w:name="standardizing-weights"/>
    <w:p>
      <w:pPr>
        <w:pStyle w:val="Heading3"/>
      </w:pPr>
      <w:r>
        <w:t xml:space="preserve">Standardizing Weights</w:t>
      </w:r>
    </w:p>
    <w:p>
      <w:pPr>
        <w:pStyle w:val="FirstParagraph"/>
      </w:pPr>
      <w:r>
        <w:t xml:space="preserve">Notice that some counties may have more or fewer connections than others, meaning this wasn’t made with</w:t>
      </w:r>
      <w:r>
        <w:t xml:space="preserve"> </w:t>
      </w:r>
      <m:oMath>
        <m:r>
          <m:t>k</m:t>
        </m:r>
      </m:oMath>
      <w:r>
        <w:t xml:space="preserve">-nearest neighbor. For example, county</w:t>
      </w:r>
      <w:r>
        <w:t xml:space="preserve"> </w:t>
      </w:r>
      <w:r>
        <w:rPr>
          <w:rStyle w:val="VerbatimChar"/>
        </w:rPr>
        <w:t xml:space="preserve">A</w:t>
      </w:r>
      <w:r>
        <w:t xml:space="preserve"> </w:t>
      </w:r>
      <w:r>
        <w:t xml:space="preserve">has 2 neighbors (we don’t count self-connections, so</w:t>
      </w:r>
      <w:r>
        <w:t xml:space="preserve"> </w:t>
      </w:r>
      <w:r>
        <w:rPr>
          <w:rStyle w:val="VerbatimChar"/>
        </w:rPr>
        <w:t xml:space="preserve">A</w:t>
      </w:r>
      <w:r>
        <w:t xml:space="preserve">’s neighbors are</w:t>
      </w:r>
      <w:r>
        <w:t xml:space="preserve"> </w:t>
      </w:r>
      <w:r>
        <w:rPr>
          <w:rStyle w:val="VerbatimChar"/>
        </w:rPr>
        <w:t xml:space="preserve">B</w:t>
      </w:r>
      <w:r>
        <w:t xml:space="preserve"> </w:t>
      </w:r>
      <w:r>
        <w:t xml:space="preserve">and</w:t>
      </w:r>
      <w:r>
        <w:t xml:space="preserve"> </w:t>
      </w:r>
      <w:r>
        <w:rPr>
          <w:rStyle w:val="VerbatimChar"/>
        </w:rPr>
        <w:t xml:space="preserve">E</w:t>
      </w:r>
      <w:r>
        <w:t xml:space="preserve">). However,</w:t>
      </w:r>
      <w:r>
        <w:t xml:space="preserve"> </w:t>
      </w:r>
      <w:r>
        <w:rPr>
          <w:rStyle w:val="VerbatimChar"/>
        </w:rPr>
        <w:t xml:space="preserve">E</w:t>
      </w:r>
      <w:r>
        <w:t xml:space="preserve"> </w:t>
      </w:r>
      <w:r>
        <w:t xml:space="preserve">has 3 neighbors:</w:t>
      </w:r>
      <w:r>
        <w:t xml:space="preserve"> </w:t>
      </w:r>
      <w:r>
        <w:rPr>
          <w:rStyle w:val="VerbatimChar"/>
        </w:rPr>
        <w:t xml:space="preserve">A</w:t>
      </w:r>
      <w:r>
        <w:t xml:space="preserve">,</w:t>
      </w:r>
      <w:r>
        <w:t xml:space="preserve"> </w:t>
      </w:r>
      <w:r>
        <w:rPr>
          <w:rStyle w:val="VerbatimChar"/>
        </w:rPr>
        <w:t xml:space="preserve">C</w:t>
      </w:r>
      <w:r>
        <w:t xml:space="preserve">, and</w:t>
      </w:r>
      <w:r>
        <w:t xml:space="preserve"> </w:t>
      </w:r>
      <w:r>
        <w:rPr>
          <w:rStyle w:val="VerbatimChar"/>
        </w:rPr>
        <w:t xml:space="preserve">D</w:t>
      </w:r>
      <w:r>
        <w:t xml:space="preserve">. Because these connections are roughly analogous to influence (counties with more connections likely have a greater influence on the surrounding areas), we should set the total influence upon a given unit to 1. In other words, we need to standardize the connections, typically done by row standardizing.</w:t>
      </w:r>
    </w:p>
    <w:p>
      <w:pPr>
        <w:pStyle w:val="BodyText"/>
      </w:pPr>
      <w:r>
        <w:t xml:space="preserve">To row standardize a matrix, we first sum each row, then divide each non-zero cell in that row by the sum total:</w:t>
      </w:r>
    </w:p>
    <w:p>
      <w:pPr>
        <w:pStyle w:val="BodyText"/>
      </w:pPr>
      <w:r>
        <w:drawing>
          <wp:inline>
            <wp:extent cx="5334000" cy="2776396"/>
            <wp:effectExtent b="0" l="0" r="0" t="0"/>
            <wp:docPr descr="" title="" id="24" name="Picture"/>
            <a:graphic>
              <a:graphicData uri="http://schemas.openxmlformats.org/drawingml/2006/picture">
                <pic:pic>
                  <pic:nvPicPr>
                    <pic:cNvPr descr="img/R%20Module%209/matrix-2.png" id="25" name="Picture"/>
                    <pic:cNvPicPr>
                      <a:picLocks noChangeArrowheads="1" noChangeAspect="1"/>
                    </pic:cNvPicPr>
                  </pic:nvPicPr>
                  <pic:blipFill>
                    <a:blip r:embed="rId23"/>
                    <a:stretch>
                      <a:fillRect/>
                    </a:stretch>
                  </pic:blipFill>
                  <pic:spPr bwMode="auto">
                    <a:xfrm>
                      <a:off x="0" y="0"/>
                      <a:ext cx="5334000" cy="2776396"/>
                    </a:xfrm>
                    <a:prstGeom prst="rect">
                      <a:avLst/>
                    </a:prstGeom>
                    <a:noFill/>
                    <a:ln w="9525">
                      <a:noFill/>
                      <a:headEnd/>
                      <a:tailEnd/>
                    </a:ln>
                  </pic:spPr>
                </pic:pic>
              </a:graphicData>
            </a:graphic>
          </wp:inline>
        </w:drawing>
      </w:r>
    </w:p>
    <w:p>
      <w:pPr>
        <w:pStyle w:val="BodyText"/>
      </w:pPr>
      <w:r>
        <w:t xml:space="preserve">Row standardization splits the influence from neighboring units proportionally. Put another way, row standardizing weights the influence each county has on its neighbors proportionally and standardizes the total influence on each spatial unit. There are other kinds of weighting schemes but row standardization in commonly used, and is relatively easy to perform in R. Once we’re done with this step, we can finally calculate our global Moran’s I measure. To demonstrate, let’s return to our data from the previous R Module.</w:t>
      </w:r>
    </w:p>
    <w:bookmarkEnd w:id="26"/>
    <w:bookmarkEnd w:id="27"/>
    <w:bookmarkEnd w:id="28"/>
    <w:bookmarkStart w:id="29" w:name="calculating-the-spatial-weights-matrix"/>
    <w:p>
      <w:pPr>
        <w:pStyle w:val="Heading1"/>
      </w:pPr>
      <w:r>
        <w:t xml:space="preserve">Calculating the Spatial Weights Matrix</w:t>
      </w:r>
    </w:p>
    <w:p>
      <w:pPr>
        <w:pStyle w:val="FirstParagraph"/>
      </w:pPr>
      <w:r>
        <w:t xml:space="preserve">Load the required libraries and read in the shapefile to R. Re-project the data to NAD 83 / UTM Zone 17N (please reference R Module 8), then use</w:t>
      </w:r>
      <w:r>
        <w:t xml:space="preserve"> </w:t>
      </w:r>
      <w:r>
        <w:rPr>
          <w:rStyle w:val="VerbatimChar"/>
        </w:rPr>
        <w:t xml:space="preserve">poly2nb</w:t>
      </w:r>
      <w:r>
        <w:t xml:space="preserve"> </w:t>
      </w:r>
      <w:r>
        <w:t xml:space="preserve">to create a Queen’s case</w:t>
      </w:r>
      <w:r>
        <w:t xml:space="preserve"> </w:t>
      </w:r>
      <m:oMath>
        <m:sSub>
          <m:e>
            <m:r>
              <m:t>W</m:t>
            </m:r>
          </m:e>
          <m:sub>
            <m:r>
              <m:t>i</m:t>
            </m:r>
            <m:r>
              <m:t>j</m:t>
            </m:r>
          </m:sub>
        </m:sSub>
      </m:oMath>
      <w:r>
        <w:t xml:space="preserve">. After that, we’ll use the</w:t>
      </w:r>
      <w:r>
        <w:t xml:space="preserve"> </w:t>
      </w:r>
      <w:r>
        <w:rPr>
          <w:rStyle w:val="VerbatimChar"/>
        </w:rPr>
        <w:t xml:space="preserve">nb2listw()</w:t>
      </w:r>
      <w:r>
        <w:t xml:space="preserve"> </w:t>
      </w:r>
      <w:r>
        <w:t xml:space="preserve">function to row standardize our matrix.</w:t>
      </w:r>
    </w:p>
    <w:p>
      <w:pPr>
        <w:pStyle w:val="SourceCode"/>
      </w:pPr>
      <w:r>
        <w:rPr>
          <w:rStyle w:val="NormalTok"/>
        </w:rPr>
        <w:t xml:space="preserve">queen_nb_w </w:t>
      </w:r>
      <w:r>
        <w:rPr>
          <w:rStyle w:val="OtherTok"/>
        </w:rPr>
        <w:t xml:space="preserve">&lt;-</w:t>
      </w:r>
      <w:r>
        <w:rPr>
          <w:rStyle w:val="NormalTok"/>
        </w:rPr>
        <w:t xml:space="preserve"> </w:t>
      </w:r>
      <w:r>
        <w:rPr>
          <w:rStyle w:val="FunctionTok"/>
        </w:rPr>
        <w:t xml:space="preserve">nb2listw</w:t>
      </w:r>
      <w:r>
        <w:rPr>
          <w:rStyle w:val="NormalTok"/>
        </w:rPr>
        <w:t xml:space="preserve">(</w:t>
      </w:r>
      <w:r>
        <w:br/>
      </w:r>
      <w:r>
        <w:rPr>
          <w:rStyle w:val="NormalTok"/>
        </w:rPr>
        <w:t xml:space="preserve">  </w:t>
      </w:r>
      <w:r>
        <w:rPr>
          <w:rStyle w:val="AttributeTok"/>
        </w:rPr>
        <w:t xml:space="preserve">neighbours =</w:t>
      </w:r>
      <w:r>
        <w:rPr>
          <w:rStyle w:val="NormalTok"/>
        </w:rPr>
        <w:t xml:space="preserve"> queen_nb,</w:t>
      </w:r>
      <w:r>
        <w:br/>
      </w:r>
      <w:r>
        <w:rPr>
          <w:rStyle w:val="NormalTok"/>
        </w:rPr>
        <w:t xml:space="preserve">  </w:t>
      </w:r>
      <w:r>
        <w:rPr>
          <w:rStyle w:val="CommentTok"/>
        </w:rPr>
        <w:t xml:space="preserve"># The default style, "W", tells us that we're performing row standardization</w:t>
      </w:r>
      <w:r>
        <w:br/>
      </w:r>
      <w:r>
        <w:rPr>
          <w:rStyle w:val="NormalTok"/>
        </w:rPr>
        <w:t xml:space="preserve">  </w:t>
      </w:r>
      <w:r>
        <w:rPr>
          <w:rStyle w:val="AttributeTok"/>
        </w:rPr>
        <w:t xml:space="preserve">style =</w:t>
      </w:r>
      <w:r>
        <w:rPr>
          <w:rStyle w:val="NormalTok"/>
        </w:rPr>
        <w:t xml:space="preserve"> </w:t>
      </w:r>
      <w:r>
        <w:rPr>
          <w:rStyle w:val="StringTok"/>
        </w:rPr>
        <w:t xml:space="preserve">"W"</w:t>
      </w:r>
      <w:r>
        <w:rPr>
          <w:rStyle w:val="NormalTok"/>
        </w:rPr>
        <w:t xml:space="preserve">,</w:t>
      </w:r>
      <w:r>
        <w:br/>
      </w:r>
      <w:r>
        <w:br/>
      </w:r>
      <w:r>
        <w:rPr>
          <w:rStyle w:val="NormalTok"/>
        </w:rPr>
        <w:t xml:space="preserve">  </w:t>
      </w:r>
      <w:r>
        <w:rPr>
          <w:rStyle w:val="CommentTok"/>
        </w:rPr>
        <w:t xml:space="preserve"># Don't worry about this option for now, but it'll be important to include</w:t>
      </w:r>
      <w:r>
        <w:br/>
      </w:r>
      <w:r>
        <w:rPr>
          <w:rStyle w:val="NormalTok"/>
        </w:rPr>
        <w:t xml:space="preserve">  </w:t>
      </w:r>
      <w:r>
        <w:rPr>
          <w:rStyle w:val="CommentTok"/>
        </w:rPr>
        <w:t xml:space="preserve"># later.</w:t>
      </w:r>
      <w:r>
        <w:br/>
      </w:r>
      <w:r>
        <w:rPr>
          <w:rStyle w:val="NormalTok"/>
        </w:rPr>
        <w:t xml:space="preserve">  </w:t>
      </w:r>
      <w:r>
        <w:rPr>
          <w:rStyle w:val="AttributeTok"/>
        </w:rPr>
        <w:t xml:space="preserve">zero.policy =</w:t>
      </w:r>
      <w:r>
        <w:rPr>
          <w:rStyle w:val="NormalTok"/>
        </w:rPr>
        <w:t xml:space="preserve"> </w:t>
      </w:r>
      <w:r>
        <w:rPr>
          <w:rStyle w:val="ConstantTok"/>
        </w:rPr>
        <w:t xml:space="preserve">TRUE</w:t>
      </w:r>
      <w:r>
        <w:rPr>
          <w:rStyle w:val="NormalTok"/>
        </w:rPr>
        <w:t xml:space="preserve">,</w:t>
      </w:r>
      <w:r>
        <w:br/>
      </w:r>
      <w:r>
        <w:rPr>
          <w:rStyle w:val="NormalTok"/>
        </w:rPr>
        <w:t xml:space="preserve">)</w:t>
      </w:r>
      <w:r>
        <w:br/>
      </w:r>
      <w:r>
        <w:br/>
      </w:r>
      <w:r>
        <w:rPr>
          <w:rStyle w:val="FunctionTok"/>
        </w:rPr>
        <w:t xml:space="preserve">summary</w:t>
      </w:r>
      <w:r>
        <w:rPr>
          <w:rStyle w:val="NormalTok"/>
        </w:rPr>
        <w:t xml:space="preserve">(queen_nb_w)</w:t>
      </w:r>
    </w:p>
    <w:p>
      <w:pPr>
        <w:pStyle w:val="SourceCode"/>
      </w:pPr>
      <w:r>
        <w:rPr>
          <w:rStyle w:val="VerbatimChar"/>
        </w:rPr>
        <w:t xml:space="preserve">## Characteristics of weights list object:</w:t>
      </w:r>
      <w:r>
        <w:br/>
      </w:r>
      <w:r>
        <w:rPr>
          <w:rStyle w:val="VerbatimChar"/>
        </w:rPr>
        <w:t xml:space="preserve">## Neighbour list object:</w:t>
      </w:r>
      <w:r>
        <w:br/>
      </w:r>
      <w:r>
        <w:rPr>
          <w:rStyle w:val="VerbatimChar"/>
        </w:rPr>
        <w:t xml:space="preserve">## Number of regions: 100 </w:t>
      </w:r>
      <w:r>
        <w:br/>
      </w:r>
      <w:r>
        <w:rPr>
          <w:rStyle w:val="VerbatimChar"/>
        </w:rPr>
        <w:t xml:space="preserve">## Number of nonzero links: 490 </w:t>
      </w:r>
      <w:r>
        <w:br/>
      </w:r>
      <w:r>
        <w:rPr>
          <w:rStyle w:val="VerbatimChar"/>
        </w:rPr>
        <w:t xml:space="preserve">## Percentage nonzero weights: 4.9 </w:t>
      </w:r>
      <w:r>
        <w:br/>
      </w:r>
      <w:r>
        <w:rPr>
          <w:rStyle w:val="VerbatimChar"/>
        </w:rPr>
        <w:t xml:space="preserve">## Average number of links: 4.9 </w:t>
      </w:r>
      <w:r>
        <w:br/>
      </w:r>
      <w:r>
        <w:rPr>
          <w:rStyle w:val="VerbatimChar"/>
        </w:rPr>
        <w:t xml:space="preserve">## Link number distribution:</w:t>
      </w:r>
      <w:r>
        <w:br/>
      </w:r>
      <w:r>
        <w:rPr>
          <w:rStyle w:val="VerbatimChar"/>
        </w:rPr>
        <w:t xml:space="preserve">## </w:t>
      </w:r>
      <w:r>
        <w:br/>
      </w:r>
      <w:r>
        <w:rPr>
          <w:rStyle w:val="VerbatimChar"/>
        </w:rPr>
        <w:t xml:space="preserve">##  2  3  4  5  6  7  8  9 </w:t>
      </w:r>
      <w:r>
        <w:br/>
      </w:r>
      <w:r>
        <w:rPr>
          <w:rStyle w:val="VerbatimChar"/>
        </w:rPr>
        <w:t xml:space="preserve">##  8 15 17 23 19 14  2  2 </w:t>
      </w:r>
      <w:r>
        <w:br/>
      </w:r>
      <w:r>
        <w:rPr>
          <w:rStyle w:val="VerbatimChar"/>
        </w:rPr>
        <w:t xml:space="preserve">## 8 least connected regions:</w:t>
      </w:r>
      <w:r>
        <w:br/>
      </w:r>
      <w:r>
        <w:rPr>
          <w:rStyle w:val="VerbatimChar"/>
        </w:rPr>
        <w:t xml:space="preserve">## Currituck Chowan Tyrrell Dare Polk Pamlico Clay New Hanover with 2 links</w:t>
      </w:r>
      <w:r>
        <w:br/>
      </w:r>
      <w:r>
        <w:rPr>
          <w:rStyle w:val="VerbatimChar"/>
        </w:rPr>
        <w:t xml:space="preserve">## 2 most connected regions:</w:t>
      </w:r>
      <w:r>
        <w:br/>
      </w:r>
      <w:r>
        <w:rPr>
          <w:rStyle w:val="VerbatimChar"/>
        </w:rPr>
        <w:t xml:space="preserve">## Iredell Moore with 9 links</w:t>
      </w:r>
      <w:r>
        <w:br/>
      </w:r>
      <w:r>
        <w:rPr>
          <w:rStyle w:val="VerbatimChar"/>
        </w:rPr>
        <w:t xml:space="preserve">## </w:t>
      </w:r>
      <w:r>
        <w:br/>
      </w:r>
      <w:r>
        <w:rPr>
          <w:rStyle w:val="VerbatimChar"/>
        </w:rPr>
        <w:t xml:space="preserve">## Weights style: W </w:t>
      </w:r>
      <w:r>
        <w:br/>
      </w:r>
      <w:r>
        <w:rPr>
          <w:rStyle w:val="VerbatimChar"/>
        </w:rPr>
        <w:t xml:space="preserve">## Weights constants summary:</w:t>
      </w:r>
      <w:r>
        <w:br/>
      </w:r>
      <w:r>
        <w:rPr>
          <w:rStyle w:val="VerbatimChar"/>
        </w:rPr>
        <w:t xml:space="preserve">##     n    nn  S0       S1       S2</w:t>
      </w:r>
      <w:r>
        <w:br/>
      </w:r>
      <w:r>
        <w:rPr>
          <w:rStyle w:val="VerbatimChar"/>
        </w:rPr>
        <w:t xml:space="preserve">## W 100 10000 100 44.65023 410.4746</w:t>
      </w:r>
    </w:p>
    <w:p>
      <w:pPr>
        <w:pStyle w:val="FirstParagraph"/>
      </w:pPr>
      <w:r>
        <w:t xml:space="preserve">Printing the new object itself doesnt show us our</w:t>
      </w:r>
      <w:r>
        <w:t xml:space="preserve"> </w:t>
      </w:r>
      <m:oMath>
        <m:sSub>
          <m:e>
            <m:r>
              <m:t>W</m:t>
            </m:r>
          </m:e>
          <m:sub>
            <m:r>
              <m:t>i</m:t>
            </m:r>
            <m:r>
              <m:t>j</m:t>
            </m:r>
          </m:sub>
        </m:sSub>
      </m:oMath>
      <w:r>
        <w:t xml:space="preserve"> </w:t>
      </w:r>
      <w:r>
        <w:t xml:space="preserve">directly (technically it isn’t stored as a matrix in R)</w:t>
      </w:r>
    </w:p>
    <w:p>
      <w:r>
        <w:pict>
          <v:rect style="width:0;height:1.5pt" o:hralign="center" o:hrstd="t" o:hr="t"/>
        </w:pict>
      </w:r>
    </w:p>
    <w:bookmarkEnd w:id="29"/>
    <w:bookmarkStart w:id="35" w:name="global-morans-i"/>
    <w:p>
      <w:pPr>
        <w:pStyle w:val="Heading1"/>
      </w:pPr>
      <w:r>
        <w:t xml:space="preserve">Global Moran’s I</w:t>
      </w:r>
    </w:p>
    <w:p>
      <w:pPr>
        <w:pStyle w:val="FirstParagraph"/>
      </w:pPr>
      <w:r>
        <w:t xml:space="preserve">Moran’s I is a test of whether a variable autocorrelates with itself across space. The calculation for Moran’s I is actually quite similar to the Pearson’s</w:t>
      </w:r>
      <w:r>
        <w:t xml:space="preserve"> </w:t>
      </w:r>
      <m:oMath>
        <m:r>
          <m:t>r</m:t>
        </m:r>
      </m:oMath>
      <w:r>
        <w:t xml:space="preserve"> </w:t>
      </w:r>
      <w:r>
        <w:t xml:space="preserve">correlation; the main differences are that:</w:t>
      </w:r>
    </w:p>
    <w:p>
      <w:pPr>
        <w:numPr>
          <w:ilvl w:val="0"/>
          <w:numId w:val="1001"/>
        </w:numPr>
        <w:pStyle w:val="Compact"/>
      </w:pPr>
      <w:r>
        <w:t xml:space="preserve">Moran’s I is a test of a single variable, and</w:t>
      </w:r>
    </w:p>
    <w:p>
      <w:pPr>
        <w:numPr>
          <w:ilvl w:val="0"/>
          <w:numId w:val="1001"/>
        </w:numPr>
        <w:pStyle w:val="Compact"/>
      </w:pPr>
      <w:r>
        <w:t xml:space="preserve">Moran’s I requires us to first define our spatial weights matrix</w:t>
      </w:r>
      <w:r>
        <w:t xml:space="preserve"> </w:t>
      </w:r>
      <m:oMath>
        <m:sSub>
          <m:e>
            <m:r>
              <m:t>W</m:t>
            </m:r>
          </m:e>
          <m:sub>
            <m:r>
              <m:t>i</m:t>
            </m:r>
            <m:r>
              <m:t>j</m:t>
            </m:r>
          </m:sub>
        </m:sSub>
      </m:oMath>
    </w:p>
    <w:p>
      <w:pPr>
        <w:pStyle w:val="FirstParagraph"/>
      </w:pPr>
      <w:r>
        <w:t xml:space="preserve">We’ve done this already, so now we’re finally able to calculate Moran’s I.</w:t>
      </w:r>
    </w:p>
    <w:bookmarkStart w:id="30" w:name="what-does-i-represent"/>
    <w:p>
      <w:pPr>
        <w:pStyle w:val="Heading2"/>
      </w:pPr>
      <w:r>
        <w:t xml:space="preserve">What does</w:t>
      </w:r>
      <w:r>
        <w:t xml:space="preserve"> </w:t>
      </w:r>
      <w:r>
        <w:rPr>
          <w:iCs/>
          <w:i/>
        </w:rPr>
        <w:t xml:space="preserve">I</w:t>
      </w:r>
      <w:r>
        <w:t xml:space="preserve"> </w:t>
      </w:r>
      <w:r>
        <w:t xml:space="preserve">represent?</w:t>
      </w:r>
    </w:p>
    <w:p>
      <w:pPr>
        <w:pStyle w:val="FirstParagraph"/>
      </w:pPr>
      <w:r>
        <w:t xml:space="preserve">The Moran’s I test returns a single value, ranging from</w:t>
      </w:r>
      <w:r>
        <w:t xml:space="preserve"> </w:t>
      </w:r>
      <m:oMath>
        <m:r>
          <m:rPr>
            <m:sty m:val="p"/>
          </m:rPr>
          <m:t>−</m:t>
        </m:r>
        <m:r>
          <m:t>1</m:t>
        </m:r>
      </m:oMath>
      <w:r>
        <w:t xml:space="preserve"> </w:t>
      </w:r>
      <w:r>
        <w:t xml:space="preserve">to</w:t>
      </w:r>
      <w:r>
        <w:t xml:space="preserve"> </w:t>
      </w:r>
      <m:oMath>
        <m:r>
          <m:t>1</m:t>
        </m:r>
      </m:oMath>
      <w:r>
        <w:t xml:space="preserve">, indicating</w:t>
      </w:r>
      <w:r>
        <w:t xml:space="preserve"> </w:t>
      </w:r>
      <w:r>
        <w:t xml:space="preserve">“</w:t>
      </w:r>
      <w:r>
        <w:t xml:space="preserve">autocorrelation</w:t>
      </w:r>
      <w:r>
        <w:t xml:space="preserve">”</w:t>
      </w:r>
      <w:r>
        <w:t xml:space="preserve">. When</w:t>
      </w:r>
      <w:r>
        <w:t xml:space="preserve"> </w:t>
      </w:r>
      <m:oMath>
        <m:r>
          <m:t>I</m:t>
        </m:r>
        <m:r>
          <m:rPr>
            <m:sty m:val="p"/>
          </m:rPr>
          <m:t>=</m:t>
        </m:r>
        <m:r>
          <m:rPr>
            <m:sty m:val="p"/>
          </m:rPr>
          <m:t>−</m:t>
        </m:r>
        <m:r>
          <m:t>1</m:t>
        </m:r>
      </m:oMath>
      <w:r>
        <w:t xml:space="preserve">, the variable in question is perfectly</w:t>
      </w:r>
      <w:r>
        <w:t xml:space="preserve"> </w:t>
      </w:r>
      <w:r>
        <w:t xml:space="preserve">“</w:t>
      </w:r>
      <w:r>
        <w:t xml:space="preserve">negatively spatially autocorrelated</w:t>
      </w:r>
      <w:r>
        <w:t xml:space="preserve">”</w:t>
      </w:r>
      <w:r>
        <w:t xml:space="preserve"> </w:t>
      </w:r>
      <w:r>
        <w:t xml:space="preserve">– high values neighbor low values – think about them like similar poles on bar magnets and how they</w:t>
      </w:r>
      <w:r>
        <w:t xml:space="preserve"> </w:t>
      </w:r>
      <w:r>
        <w:t xml:space="preserve">“</w:t>
      </w:r>
      <w:r>
        <w:t xml:space="preserve">want</w:t>
      </w:r>
      <w:r>
        <w:t xml:space="preserve">”</w:t>
      </w:r>
      <w:r>
        <w:t xml:space="preserve"> </w:t>
      </w:r>
      <w:r>
        <w:t xml:space="preserve">to repel each other. When</w:t>
      </w:r>
      <w:r>
        <w:t xml:space="preserve"> </w:t>
      </w:r>
      <m:oMath>
        <m:r>
          <m:t>I</m:t>
        </m:r>
        <m:r>
          <m:rPr>
            <m:sty m:val="p"/>
          </m:rPr>
          <m:t>=</m:t>
        </m:r>
        <m:r>
          <m:t>1</m:t>
        </m:r>
      </m:oMath>
      <w:r>
        <w:t xml:space="preserve">, the variable in question is perfectly</w:t>
      </w:r>
      <w:r>
        <w:t xml:space="preserve"> </w:t>
      </w:r>
      <w:r>
        <w:t xml:space="preserve">“</w:t>
      </w:r>
      <w:r>
        <w:t xml:space="preserve">positively spatially autocorrelated</w:t>
      </w:r>
      <w:r>
        <w:t xml:space="preserve">”</w:t>
      </w:r>
      <w:r>
        <w:t xml:space="preserve"> </w:t>
      </w:r>
      <w:r>
        <w:t xml:space="preserve">– high values</w:t>
      </w:r>
      <w:r>
        <w:t xml:space="preserve"> </w:t>
      </w:r>
      <w:r>
        <w:t xml:space="preserve">“</w:t>
      </w:r>
      <w:r>
        <w:t xml:space="preserve">clump</w:t>
      </w:r>
      <w:r>
        <w:t xml:space="preserve">”</w:t>
      </w:r>
      <w:r>
        <w:t xml:space="preserve"> </w:t>
      </w:r>
      <w:r>
        <w:t xml:space="preserve">together, as do low values.</w:t>
      </w:r>
    </w:p>
    <w:p>
      <w:pPr>
        <w:pStyle w:val="BodyText"/>
      </w:pPr>
      <w:r>
        <w:t xml:space="preserve">What happens when</w:t>
      </w:r>
      <w:r>
        <w:t xml:space="preserve"> </w:t>
      </w:r>
      <m:oMath>
        <m:r>
          <m:t>I</m:t>
        </m:r>
        <m:r>
          <m:rPr>
            <m:sty m:val="p"/>
          </m:rPr>
          <m:t>=</m:t>
        </m:r>
        <m:r>
          <m:t>0</m:t>
        </m:r>
      </m:oMath>
      <w:r>
        <w:t xml:space="preserve">? This indicates</w:t>
      </w:r>
      <w:r>
        <w:t xml:space="preserve"> </w:t>
      </w:r>
      <w:r>
        <w:t xml:space="preserve">“</w:t>
      </w:r>
      <w:r>
        <w:t xml:space="preserve">spatial randomness</w:t>
      </w:r>
      <w:r>
        <w:t xml:space="preserve">”</w:t>
      </w:r>
      <w:r>
        <w:t xml:space="preserve"> </w:t>
      </w:r>
      <w:r>
        <w:t xml:space="preserve">– sometimes high and low values occur, sometimes they are dispersed, but there’s no systematic pattern governing their distribution.</w:t>
      </w:r>
    </w:p>
    <w:p>
      <w:pPr>
        <w:pStyle w:val="BodyText"/>
      </w:pPr>
      <w:r>
        <w:t xml:space="preserve">Mathematically, the calculation for</w:t>
      </w:r>
      <w:r>
        <w:t xml:space="preserve"> </w:t>
      </w:r>
      <m:oMath>
        <m:r>
          <m:t>I</m:t>
        </m:r>
      </m:oMath>
      <w:r>
        <w:t xml:space="preserve"> </w:t>
      </w:r>
      <w:r>
        <w:t xml:space="preserve">is as follows:</w:t>
      </w:r>
    </w:p>
    <w:p>
      <w:pPr>
        <w:pStyle w:val="BodyText"/>
      </w:pPr>
      <m:oMathPara>
        <m:oMathParaPr>
          <m:jc m:val="center"/>
        </m:oMathParaPr>
        <m:oMath>
          <m:r>
            <m:t>I</m:t>
          </m:r>
          <m:r>
            <m:rPr>
              <m:sty m:val="p"/>
            </m:rPr>
            <m:t>=</m:t>
          </m:r>
          <m:f>
            <m:fPr>
              <m:type m:val="bar"/>
            </m:fPr>
            <m:num>
              <m:r>
                <m:t>1</m:t>
              </m:r>
            </m:num>
            <m:den>
              <m:sSup>
                <m:e>
                  <m:r>
                    <m:t>s</m:t>
                  </m:r>
                </m:e>
                <m:sup>
                  <m:r>
                    <m:t>2</m:t>
                  </m:r>
                </m:sup>
              </m:sSup>
            </m:den>
          </m:f>
          <m:f>
            <m:fPr>
              <m:type m:val="bar"/>
            </m:fPr>
            <m:num>
              <m:nary>
                <m:naryPr>
                  <m:chr m:val="∑"/>
                  <m:limLoc m:val="undOvr"/>
                  <m:subHide m:val="0"/>
                  <m:supHide m:val="1"/>
                </m:naryPr>
                <m:sub>
                  <m:r>
                    <m:t>i</m:t>
                  </m:r>
                </m:sub>
                <m:sup>
                  <m:r>
                    <m:t>​</m:t>
                  </m:r>
                </m:sup>
                <m:e>
                  <m:nary>
                    <m:naryPr>
                      <m:chr m:val="∑"/>
                      <m:limLoc m:val="undOvr"/>
                      <m:subHide m:val="0"/>
                      <m:supHide m:val="1"/>
                    </m:naryPr>
                    <m:sub>
                      <m:r>
                        <m:t>j</m:t>
                      </m:r>
                    </m:sub>
                    <m:sup>
                      <m:r>
                        <m:t>​</m:t>
                      </m:r>
                    </m:sup>
                    <m:e>
                      <m:d>
                        <m:dPr>
                          <m:begChr m:val="("/>
                          <m:endChr m:val=")"/>
                          <m:sepChr m:val=""/>
                          <m:grow/>
                        </m:dPr>
                        <m:e>
                          <m:sSub>
                            <m:e>
                              <m:r>
                                <m:t>y</m:t>
                              </m:r>
                            </m:e>
                            <m:sub>
                              <m:r>
                                <m:t>i</m:t>
                              </m:r>
                            </m:sub>
                          </m:sSub>
                          <m:r>
                            <m:rPr>
                              <m:sty m:val="p"/>
                            </m:rPr>
                            <m:t>−</m:t>
                          </m:r>
                          <m:acc>
                            <m:accPr>
                              <m:chr m:val="‾"/>
                            </m:accPr>
                            <m:e>
                              <m:r>
                                <m:t>y</m:t>
                              </m:r>
                            </m:e>
                          </m:acc>
                        </m:e>
                      </m:d>
                    </m:e>
                  </m:nary>
                </m:e>
              </m:nary>
              <m:d>
                <m:dPr>
                  <m:begChr m:val="("/>
                  <m:endChr m:val=")"/>
                  <m:sepChr m:val=""/>
                  <m:grow/>
                </m:dPr>
                <m:e>
                  <m:sSub>
                    <m:e>
                      <m:r>
                        <m:t>y</m:t>
                      </m:r>
                    </m:e>
                    <m:sub>
                      <m:r>
                        <m:t>j</m:t>
                      </m:r>
                    </m:sub>
                  </m:sSub>
                  <m:r>
                    <m:rPr>
                      <m:sty m:val="p"/>
                    </m:rPr>
                    <m:t>−</m:t>
                  </m:r>
                  <m:acc>
                    <m:accPr>
                      <m:chr m:val="‾"/>
                    </m:accPr>
                    <m:e>
                      <m:r>
                        <m:t>y</m:t>
                      </m:r>
                    </m:e>
                  </m:acc>
                </m:e>
              </m:d>
            </m:num>
            <m:den>
              <m:nary>
                <m:naryPr>
                  <m:chr m:val="∑"/>
                  <m:limLoc m:val="undOvr"/>
                  <m:subHide m:val="0"/>
                  <m:supHide m:val="1"/>
                </m:naryPr>
                <m:sub>
                  <m:r>
                    <m:t>i</m:t>
                  </m:r>
                </m:sub>
                <m:sup>
                  <m:r>
                    <m:t>​</m:t>
                  </m:r>
                </m:sup>
                <m:e>
                  <m:nary>
                    <m:naryPr>
                      <m:chr m:val="∑"/>
                      <m:limLoc m:val="undOvr"/>
                      <m:subHide m:val="0"/>
                      <m:supHide m:val="1"/>
                    </m:naryPr>
                    <m:sub>
                      <m:r>
                        <m:t>j</m:t>
                      </m:r>
                    </m:sub>
                    <m:sup>
                      <m:r>
                        <m:t>​</m:t>
                      </m:r>
                    </m:sup>
                    <m:e>
                      <m:sSub>
                        <m:e>
                          <m:r>
                            <m:t>W</m:t>
                          </m:r>
                        </m:e>
                        <m:sub>
                          <m:r>
                            <m:t>i</m:t>
                          </m:r>
                          <m:r>
                            <m:t>j</m:t>
                          </m:r>
                        </m:sub>
                      </m:sSub>
                    </m:e>
                  </m:nary>
                </m:e>
              </m:nary>
            </m:den>
          </m:f>
          <m:r>
            <m:rPr>
              <m:sty m:val="p"/>
            </m:rPr>
            <m:t>,</m:t>
          </m:r>
        </m:oMath>
      </m:oMathPara>
    </w:p>
    <w:p>
      <w:pPr>
        <w:pStyle w:val="FirstParagraph"/>
      </w:pPr>
      <w:r>
        <w:t xml:space="preserve">With</w:t>
      </w:r>
    </w:p>
    <w:p>
      <w:pPr>
        <w:pStyle w:val="BodyText"/>
      </w:pPr>
      <m:oMathPara>
        <m:oMathParaPr>
          <m:jc m:val="center"/>
        </m:oMathParaPr>
        <m:oMath>
          <m:sSup>
            <m:e>
              <m:r>
                <m:t>s</m:t>
              </m:r>
            </m:e>
            <m:sup>
              <m:r>
                <m:t>2</m:t>
              </m:r>
            </m:sup>
          </m:sSup>
          <m:r>
            <m:rPr>
              <m:sty m:val="p"/>
            </m:rPr>
            <m:t>=</m:t>
          </m:r>
          <m:f>
            <m:fPr>
              <m:type m:val="bar"/>
            </m:fPr>
            <m:num>
              <m:sSup>
                <m:e>
                  <m:d>
                    <m:dPr>
                      <m:begChr m:val="("/>
                      <m:endChr m:val=")"/>
                      <m:sepChr m:val=""/>
                      <m:grow/>
                    </m:dPr>
                    <m:e>
                      <m:r>
                        <m:rPr>
                          <m:sty m:val="p"/>
                        </m:rPr>
                        <m:t>∑</m:t>
                      </m:r>
                      <m:sSub>
                        <m:e>
                          <m:r>
                            <m:t>y</m:t>
                          </m:r>
                        </m:e>
                        <m:sub>
                          <m:r>
                            <m:t>i</m:t>
                          </m:r>
                        </m:sub>
                      </m:sSub>
                      <m:r>
                        <m:rPr>
                          <m:sty m:val="p"/>
                        </m:rPr>
                        <m:t>−</m:t>
                      </m:r>
                      <m:acc>
                        <m:accPr>
                          <m:chr m:val="‾"/>
                        </m:accPr>
                        <m:e>
                          <m:r>
                            <m:t>y</m:t>
                          </m:r>
                        </m:e>
                      </m:acc>
                    </m:e>
                  </m:d>
                </m:e>
                <m:sup>
                  <m:r>
                    <m:t>2</m:t>
                  </m:r>
                </m:sup>
              </m:sSup>
            </m:num>
            <m:den>
              <m:r>
                <m:t>n</m:t>
              </m:r>
            </m:den>
          </m:f>
        </m:oMath>
      </m:oMathPara>
    </w:p>
    <w:p>
      <w:pPr>
        <w:pStyle w:val="FirstParagraph"/>
      </w:pPr>
      <w:r>
        <w:t xml:space="preserve">Let’s break this down:</w:t>
      </w:r>
    </w:p>
    <w:p>
      <w:pPr>
        <w:numPr>
          <w:ilvl w:val="0"/>
          <w:numId w:val="1002"/>
        </w:numPr>
        <w:pStyle w:val="Compact"/>
      </w:pPr>
      <m:oMath>
        <m:sSup>
          <m:e>
            <m:r>
              <m:t>s</m:t>
            </m:r>
          </m:e>
          <m:sup>
            <m:r>
              <m:t>2</m:t>
            </m:r>
          </m:sup>
        </m:sSup>
      </m:oMath>
      <w:r>
        <w:t xml:space="preserve"> </w:t>
      </w:r>
      <w:r>
        <w:t xml:space="preserve">is the sampling variances, defined by the sum of the difference between each value and the mean, then squared, and then divided by the number of spatial units</w:t>
      </w:r>
      <w:r>
        <w:t xml:space="preserve"> </w:t>
      </w:r>
      <m:oMath>
        <m:r>
          <m:t>n</m:t>
        </m:r>
      </m:oMath>
      <w:r>
        <w:t xml:space="preserve">.</w:t>
      </w:r>
    </w:p>
    <w:p>
      <w:pPr>
        <w:numPr>
          <w:ilvl w:val="0"/>
          <w:numId w:val="1002"/>
        </w:numPr>
        <w:pStyle w:val="Compact"/>
      </w:pPr>
      <w:r>
        <w:t xml:space="preserve">Our denominator is the total sum of all the cells in our spatial weights matrix</w:t>
      </w:r>
      <w:r>
        <w:t xml:space="preserve"> </w:t>
      </w:r>
      <m:oMath>
        <m:sSub>
          <m:e>
            <m:r>
              <m:t>W</m:t>
            </m:r>
          </m:e>
          <m:sub>
            <m:r>
              <m:t>i</m:t>
            </m:r>
            <m:r>
              <m:t>j</m:t>
            </m:r>
          </m:sub>
        </m:sSub>
      </m:oMath>
      <w:r>
        <w:t xml:space="preserve">.</w:t>
      </w:r>
    </w:p>
    <w:p>
      <w:pPr>
        <w:numPr>
          <w:ilvl w:val="0"/>
          <w:numId w:val="1002"/>
        </w:numPr>
        <w:pStyle w:val="Compact"/>
      </w:pPr>
      <w:r>
        <w:t xml:space="preserve">The numerator is the sum of the differences in between</w:t>
      </w:r>
      <w:r>
        <w:t xml:space="preserve"> </w:t>
      </w:r>
      <m:oMath>
        <m:sSub>
          <m:e>
            <m:r>
              <m:t>y</m:t>
            </m:r>
          </m:e>
          <m:sub>
            <m:r>
              <m:t>i</m:t>
            </m:r>
          </m:sub>
        </m:sSub>
      </m:oMath>
      <w:r>
        <w:t xml:space="preserve"> </w:t>
      </w:r>
      <w:r>
        <w:t xml:space="preserve">and</w:t>
      </w:r>
      <w:r>
        <w:t xml:space="preserve"> </w:t>
      </w:r>
      <m:oMath>
        <m:sSub>
          <m:e>
            <m:r>
              <m:t>y</m:t>
            </m:r>
          </m:e>
          <m:sub>
            <m:r>
              <m:t>j</m:t>
            </m:r>
          </m:sub>
        </m:sSub>
      </m:oMath>
      <w:r>
        <w:t xml:space="preserve"> </w:t>
      </w:r>
      <w:r>
        <w:t xml:space="preserve">(the values in our rows and columns) with our overall mean,</w:t>
      </w:r>
      <w:r>
        <w:t xml:space="preserve"> </w:t>
      </w:r>
      <m:oMath>
        <m:acc>
          <m:accPr>
            <m:chr m:val="‾"/>
          </m:accPr>
          <m:e>
            <m:r>
              <m:t>y</m:t>
            </m:r>
          </m:e>
        </m:acc>
      </m:oMath>
      <w:r>
        <w:t xml:space="preserve">.</w:t>
      </w:r>
    </w:p>
    <w:p>
      <w:pPr>
        <w:pStyle w:val="FirstParagraph"/>
      </w:pPr>
      <w:r>
        <w:t xml:space="preserve">Hopefully, you won’t ever have to calculate this by hand, but it’s important to see what the test is actually performing.</w:t>
      </w:r>
    </w:p>
    <w:p>
      <w:pPr>
        <w:pStyle w:val="BodyText"/>
      </w:pPr>
      <w:r>
        <w:t xml:space="preserve">Because Moran’s I is a single value, it’s easy to interpret; it shows the</w:t>
      </w:r>
      <w:r>
        <w:t xml:space="preserve"> </w:t>
      </w:r>
      <w:r>
        <w:t xml:space="preserve">“</w:t>
      </w:r>
      <w:r>
        <w:t xml:space="preserve">global measure</w:t>
      </w:r>
      <w:r>
        <w:t xml:space="preserve">”</w:t>
      </w:r>
      <w:r>
        <w:t xml:space="preserve"> </w:t>
      </w:r>
      <w:r>
        <w:t xml:space="preserve">of autocorrelation. However, actually calculating the Moran’s I is somewhat difficult.</w:t>
      </w:r>
    </w:p>
    <w:p>
      <w:r>
        <w:pict>
          <v:rect style="width:0;height:1.5pt" o:hralign="center" o:hrstd="t" o:hr="t"/>
        </w:pict>
      </w:r>
    </w:p>
    <w:bookmarkEnd w:id="30"/>
    <w:bookmarkStart w:id="34" w:name="calculating-morans-i"/>
    <w:p>
      <w:pPr>
        <w:pStyle w:val="Heading2"/>
      </w:pPr>
      <w:r>
        <w:t xml:space="preserve">Calculating Moran’s I</w:t>
      </w:r>
    </w:p>
    <w:p>
      <w:pPr>
        <w:pStyle w:val="FirstParagraph"/>
      </w:pPr>
      <w:r>
        <w:t xml:space="preserve">The real challenge in calculating Moran’s I is in creating the sampling distribution that we need to find our critical values and our</w:t>
      </w:r>
      <w:r>
        <w:t xml:space="preserve"> </w:t>
      </w:r>
      <m:oMath>
        <m:r>
          <m:t>p</m:t>
        </m:r>
      </m:oMath>
      <w:r>
        <w:t xml:space="preserve">-values used in hypothesis testing. The safest assumption is that the statistical distribution (not spatial distribution!) of our variable in question is not normal. However, we can approximate a normal sampling distribution through spatial randomization.</w:t>
      </w:r>
    </w:p>
    <w:p>
      <w:pPr>
        <w:pStyle w:val="BodyText"/>
      </w:pPr>
      <w:r>
        <w:t xml:space="preserve">The actual values assigned to each spatial unit are randomized repeatedly – the values are moved to a randomly-designated spatial unit – to create a distribution that we use for our hypothesis test. The expected value of</w:t>
      </w:r>
      <w:r>
        <w:t xml:space="preserve"> </w:t>
      </w:r>
      <m:oMath>
        <m:r>
          <m:t>I</m:t>
        </m:r>
      </m:oMath>
      <w:r>
        <w:t xml:space="preserve"> </w:t>
      </w:r>
      <w:r>
        <w:t xml:space="preserve">for that</w:t>
      </w:r>
      <w:r>
        <w:t xml:space="preserve"> </w:t>
      </w:r>
      <w:r>
        <w:t xml:space="preserve">“</w:t>
      </w:r>
      <w:r>
        <w:t xml:space="preserve">theoretical</w:t>
      </w:r>
      <w:r>
        <w:t xml:space="preserve">”</w:t>
      </w:r>
      <w:r>
        <w:t xml:space="preserve"> </w:t>
      </w:r>
      <w:r>
        <w:t xml:space="preserve">distribution approaches</w:t>
      </w:r>
      <w:r>
        <w:t xml:space="preserve"> </w:t>
      </w:r>
      <m:oMath>
        <m:r>
          <m:t>0</m:t>
        </m:r>
      </m:oMath>
      <w:r>
        <w:t xml:space="preserve"> </w:t>
      </w:r>
      <w:r>
        <w:t xml:space="preserve">as the number of spatial units increases, and the standard deviation of the sampling distribution can only be derived once</w:t>
      </w:r>
      <w:r>
        <w:t xml:space="preserve"> </w:t>
      </w:r>
      <m:oMath>
        <m:sSub>
          <m:e>
            <m:r>
              <m:t>W</m:t>
            </m:r>
          </m:e>
          <m:sub>
            <m:r>
              <m:t>i</m:t>
            </m:r>
            <m:r>
              <m:t>j</m:t>
            </m:r>
          </m:sub>
        </m:sSub>
      </m:oMath>
      <w:r>
        <w:t xml:space="preserve"> </w:t>
      </w:r>
      <w:r>
        <w:t xml:space="preserve">has been created.</w:t>
      </w:r>
    </w:p>
    <w:p>
      <w:pPr>
        <w:pStyle w:val="BodyText"/>
      </w:pPr>
      <w:r>
        <w:t xml:space="preserve">What this essentially means is that we’re comparing our measured values against a</w:t>
      </w:r>
      <w:r>
        <w:t xml:space="preserve"> </w:t>
      </w:r>
      <w:r>
        <w:t xml:space="preserve">“</w:t>
      </w:r>
      <w:r>
        <w:t xml:space="preserve">hypothetical distribution</w:t>
      </w:r>
      <w:r>
        <w:t xml:space="preserve">”</w:t>
      </w:r>
      <w:r>
        <w:t xml:space="preserve"> </w:t>
      </w:r>
      <w:r>
        <w:t xml:space="preserve">in which those values are distributed randomly across space.</w:t>
      </w:r>
    </w:p>
    <w:p>
      <w:pPr>
        <w:pStyle w:val="BodyText"/>
      </w:pPr>
      <w:r>
        <w:t xml:space="preserve">For example, the top map shows a variable that is randomly distributed across space, and the bottom map shows one that likely is spatially autocorrelated:</w:t>
      </w:r>
    </w:p>
    <w:p>
      <w:pPr>
        <w:pStyle w:val="BodyText"/>
      </w:pPr>
      <w:r>
        <w:drawing>
          <wp:inline>
            <wp:extent cx="5334000" cy="5334000"/>
            <wp:effectExtent b="0" l="0" r="0" t="0"/>
            <wp:docPr descr="" title="" id="32" name="Picture"/>
            <a:graphic>
              <a:graphicData uri="http://schemas.openxmlformats.org/drawingml/2006/picture">
                <pic:pic>
                  <pic:nvPicPr>
                    <pic:cNvPr descr="img/R%20Module%209/moran.png" id="33"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This is the null hypothesis associated with Moran’s I: spatial randomness. If the variable in question doesn’t spatially autocorrelate (i.e., it doesn’t differ significantly from a hypothetical random spatial distribution), we do not reject the null. However, if the variable does autocorrelate and our</w:t>
      </w:r>
      <w:r>
        <w:t xml:space="preserve"> </w:t>
      </w:r>
      <m:oMath>
        <m:r>
          <m:t>p</m:t>
        </m:r>
      </m:oMath>
      <w:r>
        <w:t xml:space="preserve">-values are less than our</w:t>
      </w:r>
      <w:r>
        <w:t xml:space="preserve"> </w:t>
      </w:r>
      <m:oMath>
        <m:r>
          <m:t>α</m:t>
        </m:r>
      </m:oMath>
      <w:r>
        <w:t xml:space="preserve"> </w:t>
      </w:r>
      <w:r>
        <w:t xml:space="preserve">(usually 0.05), then we reject the null hypothesis and can confidently state that our variable spatially autocorrelates.</w:t>
      </w:r>
    </w:p>
    <w:p>
      <w:pPr>
        <w:pStyle w:val="BodyText"/>
      </w:pPr>
      <w:r>
        <w:t xml:space="preserve">More formally, our null hypothesis is that our calculated</w:t>
      </w:r>
      <w:r>
        <w:t xml:space="preserve"> </w:t>
      </w:r>
      <m:oMath>
        <m:r>
          <m:t>I</m:t>
        </m:r>
      </m:oMath>
      <w:r>
        <w:t xml:space="preserve"> </w:t>
      </w:r>
      <w:r>
        <w:t xml:space="preserve">is equal to the expected</w:t>
      </w:r>
      <w:r>
        <w:t xml:space="preserve"> </w:t>
      </w:r>
      <m:oMath>
        <m:r>
          <m:t>I</m:t>
        </m:r>
        <m:r>
          <m:rPr>
            <m:sty m:val="p"/>
          </m:rPr>
          <m:t>≈</m:t>
        </m:r>
        <m:r>
          <m:t>0</m:t>
        </m:r>
      </m:oMath>
      <w:r>
        <w:t xml:space="preserve">. The alternative hypothesis is that the calculated</w:t>
      </w:r>
      <w:r>
        <w:t xml:space="preserve"> </w:t>
      </w:r>
      <m:oMath>
        <m:r>
          <m:t>I</m:t>
        </m:r>
        <m:r>
          <m:rPr>
            <m:sty m:val="p"/>
          </m:rPr>
          <m:t>≠</m:t>
        </m:r>
      </m:oMath>
      <w:r>
        <w:t xml:space="preserve"> </w:t>
      </w:r>
      <w:r>
        <w:t xml:space="preserve">the expected</w:t>
      </w:r>
      <w:r>
        <w:t xml:space="preserve"> </w:t>
      </w:r>
      <m:oMath>
        <m:r>
          <m:t>I</m:t>
        </m:r>
      </m:oMath>
      <w:r>
        <w:t xml:space="preserve">. Thus, we have a two-tailed test.</w:t>
      </w:r>
    </w:p>
    <w:p>
      <w:r>
        <w:pict>
          <v:rect style="width:0;height:1.5pt" o:hralign="center" o:hrstd="t" o:hr="t"/>
        </w:pict>
      </w:r>
    </w:p>
    <w:bookmarkEnd w:id="34"/>
    <w:bookmarkEnd w:id="35"/>
    <w:bookmarkStart w:id="37" w:name="performing-the-morans-i-calculation"/>
    <w:p>
      <w:pPr>
        <w:pStyle w:val="Heading1"/>
      </w:pPr>
      <w:r>
        <w:t xml:space="preserve">Performing the Moran’s I Calculation</w:t>
      </w:r>
    </w:p>
    <w:p>
      <w:pPr>
        <w:pStyle w:val="FirstParagraph"/>
      </w:pPr>
      <w:r>
        <w:t xml:space="preserve">Let’s try this on the variable for manufacturing jobs in the year 2000,</w:t>
      </w:r>
      <w:r>
        <w:t xml:space="preserve"> </w:t>
      </w:r>
      <w:r>
        <w:rPr>
          <w:rStyle w:val="VerbatimChar"/>
        </w:rPr>
        <w:t xml:space="preserve">MNEM2000</w:t>
      </w:r>
      <w:r>
        <w:t xml:space="preserve">:</w:t>
      </w:r>
    </w:p>
    <w:p>
      <w:pPr>
        <w:pStyle w:val="SourceCode"/>
      </w:pPr>
      <w:r>
        <w:rPr>
          <w:rStyle w:val="FunctionTok"/>
        </w:rPr>
        <w:t xml:space="preserve">moran.test</w:t>
      </w:r>
      <w:r>
        <w:rPr>
          <w:rStyle w:val="NormalTok"/>
        </w:rPr>
        <w:t xml:space="preserve">(</w:t>
      </w:r>
      <w:r>
        <w:br/>
      </w:r>
      <w:r>
        <w:rPr>
          <w:rStyle w:val="NormalTok"/>
        </w:rPr>
        <w:t xml:space="preserve">  </w:t>
      </w:r>
      <w:r>
        <w:rPr>
          <w:rStyle w:val="AttributeTok"/>
        </w:rPr>
        <w:t xml:space="preserve">x =</w:t>
      </w:r>
      <w:r>
        <w:rPr>
          <w:rStyle w:val="NormalTok"/>
        </w:rPr>
        <w:t xml:space="preserve"> NC_UTM</w:t>
      </w:r>
      <w:r>
        <w:rPr>
          <w:rStyle w:val="SpecialCharTok"/>
        </w:rPr>
        <w:t xml:space="preserve">$</w:t>
      </w:r>
      <w:r>
        <w:rPr>
          <w:rStyle w:val="NormalTok"/>
        </w:rPr>
        <w:t xml:space="preserve">MNEM2000,</w:t>
      </w:r>
      <w:r>
        <w:br/>
      </w:r>
      <w:r>
        <w:rPr>
          <w:rStyle w:val="NormalTok"/>
        </w:rPr>
        <w:t xml:space="preserve">  </w:t>
      </w:r>
      <w:r>
        <w:rPr>
          <w:rStyle w:val="AttributeTok"/>
        </w:rPr>
        <w:t xml:space="preserve">listw =</w:t>
      </w:r>
      <w:r>
        <w:rPr>
          <w:rStyle w:val="NormalTok"/>
        </w:rPr>
        <w:t xml:space="preserve"> queen_nb_w,</w:t>
      </w:r>
      <w:r>
        <w:br/>
      </w:r>
      <w:r>
        <w:rPr>
          <w:rStyle w:val="NormalTok"/>
        </w:rPr>
        <w:t xml:space="preserve">  </w:t>
      </w:r>
      <w:r>
        <w:rPr>
          <w:rStyle w:val="AttributeTok"/>
        </w:rPr>
        <w:t xml:space="preserve">zero.policy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br/>
      </w:r>
      <w:r>
        <w:rPr>
          <w:rStyle w:val="NormalTok"/>
        </w:rPr>
        <w:t xml:space="preserve">)</w:t>
      </w:r>
    </w:p>
    <w:p>
      <w:pPr>
        <w:pStyle w:val="SourceCode"/>
      </w:pPr>
      <w:r>
        <w:rPr>
          <w:rStyle w:val="VerbatimChar"/>
        </w:rPr>
        <w:t xml:space="preserve">## </w:t>
      </w:r>
      <w:r>
        <w:br/>
      </w:r>
      <w:r>
        <w:rPr>
          <w:rStyle w:val="VerbatimChar"/>
        </w:rPr>
        <w:t xml:space="preserve">##  Moran I test under randomisation</w:t>
      </w:r>
      <w:r>
        <w:br/>
      </w:r>
      <w:r>
        <w:rPr>
          <w:rStyle w:val="VerbatimChar"/>
        </w:rPr>
        <w:t xml:space="preserve">## </w:t>
      </w:r>
      <w:r>
        <w:br/>
      </w:r>
      <w:r>
        <w:rPr>
          <w:rStyle w:val="VerbatimChar"/>
        </w:rPr>
        <w:t xml:space="preserve">## data:  NC_UTM$MNEM2000  </w:t>
      </w:r>
      <w:r>
        <w:br/>
      </w:r>
      <w:r>
        <w:rPr>
          <w:rStyle w:val="VerbatimChar"/>
        </w:rPr>
        <w:t xml:space="preserve">## weights: queen_nb_w    </w:t>
      </w:r>
      <w:r>
        <w:br/>
      </w:r>
      <w:r>
        <w:rPr>
          <w:rStyle w:val="VerbatimChar"/>
        </w:rPr>
        <w:t xml:space="preserve">## </w:t>
      </w:r>
      <w:r>
        <w:br/>
      </w:r>
      <w:r>
        <w:rPr>
          <w:rStyle w:val="VerbatimChar"/>
        </w:rPr>
        <w:t xml:space="preserve">## Moran I statistic standard deviate = 6.2869, p-value = 3.239e-10</w:t>
      </w:r>
      <w:r>
        <w:br/>
      </w:r>
      <w:r>
        <w:rPr>
          <w:rStyle w:val="VerbatimChar"/>
        </w:rPr>
        <w:t xml:space="preserve">## alternative hypothesis: two.sided</w:t>
      </w:r>
      <w:r>
        <w:br/>
      </w:r>
      <w:r>
        <w:rPr>
          <w:rStyle w:val="VerbatimChar"/>
        </w:rPr>
        <w:t xml:space="preserve">## sample estimates:</w:t>
      </w:r>
      <w:r>
        <w:br/>
      </w:r>
      <w:r>
        <w:rPr>
          <w:rStyle w:val="VerbatimChar"/>
        </w:rPr>
        <w:t xml:space="preserve">## Moran I statistic       Expectation          Variance </w:t>
      </w:r>
      <w:r>
        <w:br/>
      </w:r>
      <w:r>
        <w:rPr>
          <w:rStyle w:val="VerbatimChar"/>
        </w:rPr>
        <w:t xml:space="preserve">##       0.388470385      -0.010101010       0.004019201</w:t>
      </w:r>
    </w:p>
    <w:p>
      <w:pPr>
        <w:pStyle w:val="FirstParagraph"/>
      </w:pPr>
      <w:r>
        <w:t xml:space="preserve">The calculated Moran’s I is listed (as</w:t>
      </w:r>
      <w:r>
        <w:t xml:space="preserve"> </w:t>
      </w:r>
      <w:r>
        <w:rPr>
          <w:rStyle w:val="VerbatimChar"/>
        </w:rPr>
        <w:t xml:space="preserve">statistic</w:t>
      </w:r>
      <w:r>
        <w:t xml:space="preserve">) along with the expected value of the</w:t>
      </w:r>
      <w:r>
        <w:t xml:space="preserve"> </w:t>
      </w:r>
      <w:r>
        <w:t xml:space="preserve">“</w:t>
      </w:r>
      <w:r>
        <w:t xml:space="preserve">hypothetical</w:t>
      </w:r>
      <w:r>
        <w:t xml:space="preserve">”</w:t>
      </w:r>
      <w:r>
        <w:t xml:space="preserve"> </w:t>
      </w:r>
      <w:r>
        <w:t xml:space="preserve">sampling distribution (as</w:t>
      </w:r>
      <w:r>
        <w:t xml:space="preserve"> </w:t>
      </w:r>
      <w:r>
        <w:rPr>
          <w:rStyle w:val="VerbatimChar"/>
        </w:rPr>
        <w:t xml:space="preserve">Expectation</w:t>
      </w:r>
      <w:r>
        <w:t xml:space="preserve">), as well as the</w:t>
      </w:r>
      <w:r>
        <w:t xml:space="preserve"> </w:t>
      </w:r>
      <m:oMath>
        <m:r>
          <m:t>p</m:t>
        </m:r>
      </m:oMath>
      <w:r>
        <w:t xml:space="preserve">-value. The expected value is around -0.01, and the calculated</w:t>
      </w:r>
      <w:r>
        <w:t xml:space="preserve"> </w:t>
      </w:r>
      <m:oMath>
        <m:r>
          <m:t>I</m:t>
        </m:r>
      </m:oMath>
      <w:r>
        <w:t xml:space="preserve"> </w:t>
      </w:r>
      <w:r>
        <w:t xml:space="preserve">of 0.3884 is</w:t>
      </w:r>
      <w:r>
        <w:t xml:space="preserve"> </w:t>
      </w:r>
      <w:r>
        <w:rPr>
          <w:bCs/>
          <w:b/>
        </w:rPr>
        <w:t xml:space="preserve">not</w:t>
      </w:r>
      <w:r>
        <w:t xml:space="preserve"> </w:t>
      </w:r>
      <w:r>
        <w:t xml:space="preserve">close to the expected value (which should be close to 0). Unsurprisingly, our</w:t>
      </w:r>
      <w:r>
        <w:t xml:space="preserve"> </w:t>
      </w:r>
      <m:oMath>
        <m:r>
          <m:t>p</m:t>
        </m:r>
      </m:oMath>
      <w:r>
        <w:t xml:space="preserve">-value is also fairly low, at</w:t>
      </w:r>
      <w:r>
        <w:t xml:space="preserve"> </w:t>
      </w:r>
      <m:oMath>
        <m:r>
          <m:t>3.239</m:t>
        </m:r>
        <m:r>
          <m:rPr>
            <m:sty m:val="p"/>
          </m:rPr>
          <m:t>×</m:t>
        </m:r>
        <m:sSup>
          <m:e>
            <m:r>
              <m:t>10</m:t>
            </m:r>
          </m:e>
          <m:sup>
            <m:r>
              <m:rPr>
                <m:sty m:val="p"/>
              </m:rPr>
              <m:t>−</m:t>
            </m:r>
            <m:r>
              <m:t>10</m:t>
            </m:r>
          </m:sup>
        </m:sSup>
      </m:oMath>
      <w:r>
        <w:t xml:space="preserve">.</w:t>
      </w:r>
    </w:p>
    <w:p>
      <w:pPr>
        <w:pStyle w:val="BodyText"/>
      </w:pPr>
      <w:r>
        <w:t xml:space="preserve">This means than using a sampling distribution created by randomization and a row-standardized Queen’s case spatial weights matrix, we would have much less than a 1% chance of making a Type-I error if we reject our null hypothesis (of no spatial autocorrelation). We can confidently say, therefore, that</w:t>
      </w:r>
      <w:r>
        <w:t xml:space="preserve"> </w:t>
      </w:r>
      <w:r>
        <w:rPr>
          <w:rStyle w:val="VerbatimChar"/>
        </w:rPr>
        <w:t xml:space="preserve">MNEM2000</w:t>
      </w:r>
      <w:r>
        <w:t xml:space="preserve"> </w:t>
      </w:r>
      <w:r>
        <w:t xml:space="preserve">is a spatially autocorrelated variable.</w:t>
      </w:r>
    </w:p>
    <w:bookmarkStart w:id="36" w:name="questions"/>
    <w:p>
      <w:pPr>
        <w:pStyle w:val="Heading2"/>
      </w:pPr>
      <w:r>
        <w:t xml:space="preserve">Questions</w:t>
      </w:r>
    </w:p>
    <w:p>
      <w:pPr>
        <w:pStyle w:val="FirstParagraph"/>
      </w:pPr>
      <w:r>
        <w:rPr>
          <w:bCs/>
          <w:b/>
        </w:rPr>
        <w:t xml:space="preserve">1. Calculate Moran’s I for the following variables in the dataset. List the Moran’s I values and p-values for each variable in a single summary table:</w:t>
      </w:r>
    </w:p>
    <w:p>
      <w:pPr>
        <w:numPr>
          <w:ilvl w:val="0"/>
          <w:numId w:val="1003"/>
        </w:numPr>
        <w:pStyle w:val="Compact"/>
      </w:pPr>
      <w:r>
        <w:rPr>
          <w:rStyle w:val="VerbatimChar"/>
        </w:rPr>
        <w:t xml:space="preserve">MNEM2000</w:t>
      </w:r>
    </w:p>
    <w:p>
      <w:pPr>
        <w:numPr>
          <w:ilvl w:val="0"/>
          <w:numId w:val="1003"/>
        </w:numPr>
        <w:pStyle w:val="Compact"/>
      </w:pPr>
      <w:r>
        <w:rPr>
          <w:rStyle w:val="VerbatimChar"/>
        </w:rPr>
        <w:t xml:space="preserve">MNEM1990</w:t>
      </w:r>
    </w:p>
    <w:p>
      <w:pPr>
        <w:numPr>
          <w:ilvl w:val="0"/>
          <w:numId w:val="1003"/>
        </w:numPr>
        <w:pStyle w:val="Compact"/>
      </w:pPr>
      <w:r>
        <w:rPr>
          <w:rStyle w:val="VerbatimChar"/>
        </w:rPr>
        <w:t xml:space="preserve">TOTJOB2000</w:t>
      </w:r>
    </w:p>
    <w:p>
      <w:pPr>
        <w:numPr>
          <w:ilvl w:val="0"/>
          <w:numId w:val="1003"/>
        </w:numPr>
        <w:pStyle w:val="Compact"/>
      </w:pPr>
      <w:r>
        <w:rPr>
          <w:rStyle w:val="VerbatimChar"/>
        </w:rPr>
        <w:t xml:space="preserve">TOTJOB1990</w:t>
      </w:r>
    </w:p>
    <w:p>
      <w:pPr>
        <w:pStyle w:val="FirstParagraph"/>
      </w:pPr>
      <w:r>
        <w:rPr>
          <w:bCs/>
          <w:b/>
        </w:rPr>
        <w:t xml:space="preserve">Provide your R code for the Moran’s I tests (not the results themselves – that’s what the table is for).</w:t>
      </w:r>
    </w:p>
    <w:p>
      <w:r>
        <w:pict>
          <v:rect style="width:0;height:1.5pt" o:hralign="center" o:hrstd="t" o:hr="t"/>
        </w:pict>
      </w:r>
    </w:p>
    <w:bookmarkEnd w:id="36"/>
    <w:bookmarkEnd w:id="37"/>
    <w:bookmarkStart w:id="39" w:name="spatial-weights-matrix"/>
    <w:p>
      <w:pPr>
        <w:pStyle w:val="Heading1"/>
      </w:pPr>
      <w:r>
        <w:t xml:space="preserve">Spatial Weights Matrix</w:t>
      </w:r>
    </w:p>
    <w:p>
      <w:pPr>
        <w:pStyle w:val="FirstParagraph"/>
      </w:pPr>
      <w:r>
        <w:t xml:space="preserve">To better ensure our results are accurate, it’s important to test other neighborhood criteria. Because our spatial weights matrix is used to calculate Moran’s I, our result could simply be due to the choice of neighborhood criterion. What if we used a different neighborhood construct? Let’s try with a Rook’s case, row-standardized as normal:</w:t>
      </w:r>
    </w:p>
    <w:p>
      <w:pPr>
        <w:pStyle w:val="SourceCode"/>
      </w:pPr>
      <w:r>
        <w:rPr>
          <w:rStyle w:val="NormalTok"/>
        </w:rPr>
        <w:t xml:space="preserve">rook_nb_w </w:t>
      </w:r>
      <w:r>
        <w:rPr>
          <w:rStyle w:val="OtherTok"/>
        </w:rPr>
        <w:t xml:space="preserve">&lt;-</w:t>
      </w:r>
      <w:r>
        <w:rPr>
          <w:rStyle w:val="NormalTok"/>
        </w:rPr>
        <w:t xml:space="preserve"> NC_UTM </w:t>
      </w:r>
      <w:r>
        <w:rPr>
          <w:rStyle w:val="SpecialCharTok"/>
        </w:rPr>
        <w:t xml:space="preserve">%&gt;%</w:t>
      </w:r>
      <w:r>
        <w:br/>
      </w:r>
      <w:r>
        <w:rPr>
          <w:rStyle w:val="NormalTok"/>
        </w:rPr>
        <w:t xml:space="preserve">  tibble</w:t>
      </w:r>
      <w:r>
        <w:rPr>
          <w:rStyle w:val="SpecialCharTok"/>
        </w:rPr>
        <w:t xml:space="preserve">::</w:t>
      </w:r>
      <w:r>
        <w:rPr>
          <w:rStyle w:val="FunctionTok"/>
        </w:rPr>
        <w:t xml:space="preserve">column_to_rownames</w:t>
      </w:r>
      <w:r>
        <w:rPr>
          <w:rStyle w:val="NormalTok"/>
        </w:rPr>
        <w:t xml:space="preserve">(</w:t>
      </w:r>
      <w:r>
        <w:rPr>
          <w:rStyle w:val="StringTok"/>
        </w:rPr>
        <w:t xml:space="preserve">"NAME"</w:t>
      </w:r>
      <w:r>
        <w:rPr>
          <w:rStyle w:val="NormalTok"/>
        </w:rPr>
        <w:t xml:space="preserve">) </w:t>
      </w:r>
      <w:r>
        <w:rPr>
          <w:rStyle w:val="SpecialCharTok"/>
        </w:rPr>
        <w:t xml:space="preserve">%&gt;%</w:t>
      </w:r>
      <w:r>
        <w:br/>
      </w:r>
      <w:r>
        <w:rPr>
          <w:rStyle w:val="NormalTok"/>
        </w:rPr>
        <w:t xml:space="preserve">  </w:t>
      </w:r>
      <w:r>
        <w:rPr>
          <w:rStyle w:val="FunctionTok"/>
        </w:rPr>
        <w:t xml:space="preserve">st_as_sf</w:t>
      </w:r>
      <w:r>
        <w:rPr>
          <w:rStyle w:val="NormalTok"/>
        </w:rPr>
        <w:t xml:space="preserve">() </w:t>
      </w:r>
      <w:r>
        <w:rPr>
          <w:rStyle w:val="SpecialCharTok"/>
        </w:rPr>
        <w:t xml:space="preserve">%&gt;%</w:t>
      </w:r>
      <w:r>
        <w:br/>
      </w:r>
      <w:r>
        <w:rPr>
          <w:rStyle w:val="NormalTok"/>
        </w:rPr>
        <w:t xml:space="preserve">  </w:t>
      </w:r>
      <w:r>
        <w:rPr>
          <w:rStyle w:val="FunctionTok"/>
        </w:rPr>
        <w:t xml:space="preserve">poly2nb</w:t>
      </w:r>
      <w:r>
        <w:rPr>
          <w:rStyle w:val="NormalTok"/>
        </w:rPr>
        <w:t xml:space="preserve">(</w:t>
      </w:r>
      <w:r>
        <w:rPr>
          <w:rStyle w:val="AttributeTok"/>
        </w:rPr>
        <w:t xml:space="preserve">queen =</w:t>
      </w:r>
      <w:r>
        <w:rPr>
          <w:rStyle w:val="NormalTok"/>
        </w:rPr>
        <w:t xml:space="preserve"> F) </w:t>
      </w:r>
      <w:r>
        <w:rPr>
          <w:rStyle w:val="SpecialCharTok"/>
        </w:rPr>
        <w:t xml:space="preserve">%&gt;%</w:t>
      </w:r>
      <w:r>
        <w:br/>
      </w:r>
      <w:r>
        <w:rPr>
          <w:rStyle w:val="NormalTok"/>
        </w:rPr>
        <w:t xml:space="preserve">  </w:t>
      </w:r>
      <w:r>
        <w:rPr>
          <w:rStyle w:val="FunctionTok"/>
        </w:rPr>
        <w:t xml:space="preserve">nb2listw</w:t>
      </w:r>
      <w:r>
        <w:rPr>
          <w:rStyle w:val="NormalTok"/>
        </w:rPr>
        <w:t xml:space="preserve">(</w:t>
      </w:r>
      <w:r>
        <w:br/>
      </w:r>
      <w:r>
        <w:rPr>
          <w:rStyle w:val="NormalTok"/>
        </w:rPr>
        <w:t xml:space="preserve">    </w:t>
      </w:r>
      <w:r>
        <w:rPr>
          <w:rStyle w:val="AttributeTok"/>
        </w:rPr>
        <w:t xml:space="preserve">style =</w:t>
      </w:r>
      <w:r>
        <w:rPr>
          <w:rStyle w:val="NormalTok"/>
        </w:rPr>
        <w:t xml:space="preserve"> </w:t>
      </w:r>
      <w:r>
        <w:rPr>
          <w:rStyle w:val="StringTok"/>
        </w:rPr>
        <w:t xml:space="preserve">"W"</w:t>
      </w:r>
      <w:r>
        <w:rPr>
          <w:rStyle w:val="NormalTok"/>
        </w:rPr>
        <w:t xml:space="preserve">,</w:t>
      </w:r>
      <w:r>
        <w:br/>
      </w:r>
      <w:r>
        <w:rPr>
          <w:rStyle w:val="NormalTok"/>
        </w:rPr>
        <w:t xml:space="preserve">    </w:t>
      </w:r>
      <w:r>
        <w:rPr>
          <w:rStyle w:val="AttributeTok"/>
        </w:rPr>
        <w:t xml:space="preserve">zero.policy =</w:t>
      </w:r>
      <w:r>
        <w:rPr>
          <w:rStyle w:val="NormalTok"/>
        </w:rPr>
        <w:t xml:space="preserve"> </w:t>
      </w:r>
      <w:r>
        <w:rPr>
          <w:rStyle w:val="ConstantTok"/>
        </w:rPr>
        <w:t xml:space="preserve">TRUE</w:t>
      </w:r>
      <w:r>
        <w:br/>
      </w:r>
      <w:r>
        <w:rPr>
          <w:rStyle w:val="NormalTok"/>
        </w:rPr>
        <w:t xml:space="preserve">  )</w:t>
      </w:r>
      <w:r>
        <w:br/>
      </w:r>
      <w:r>
        <w:br/>
      </w:r>
      <w:r>
        <w:rPr>
          <w:rStyle w:val="FunctionTok"/>
        </w:rPr>
        <w:t xml:space="preserve">moran.test</w:t>
      </w:r>
      <w:r>
        <w:rPr>
          <w:rStyle w:val="NormalTok"/>
        </w:rPr>
        <w:t xml:space="preserve">(</w:t>
      </w:r>
      <w:r>
        <w:br/>
      </w:r>
      <w:r>
        <w:rPr>
          <w:rStyle w:val="NormalTok"/>
        </w:rPr>
        <w:t xml:space="preserve">  </w:t>
      </w:r>
      <w:r>
        <w:rPr>
          <w:rStyle w:val="AttributeTok"/>
        </w:rPr>
        <w:t xml:space="preserve">x =</w:t>
      </w:r>
      <w:r>
        <w:rPr>
          <w:rStyle w:val="NormalTok"/>
        </w:rPr>
        <w:t xml:space="preserve"> NC_UTM</w:t>
      </w:r>
      <w:r>
        <w:rPr>
          <w:rStyle w:val="SpecialCharTok"/>
        </w:rPr>
        <w:t xml:space="preserve">$</w:t>
      </w:r>
      <w:r>
        <w:rPr>
          <w:rStyle w:val="NormalTok"/>
        </w:rPr>
        <w:t xml:space="preserve">MNEM2000,</w:t>
      </w:r>
      <w:r>
        <w:br/>
      </w:r>
      <w:r>
        <w:rPr>
          <w:rStyle w:val="NormalTok"/>
        </w:rPr>
        <w:t xml:space="preserve">  </w:t>
      </w:r>
      <w:r>
        <w:rPr>
          <w:rStyle w:val="AttributeTok"/>
        </w:rPr>
        <w:t xml:space="preserve">listw =</w:t>
      </w:r>
      <w:r>
        <w:rPr>
          <w:rStyle w:val="NormalTok"/>
        </w:rPr>
        <w:t xml:space="preserve"> rook_nb_w,</w:t>
      </w:r>
      <w:r>
        <w:br/>
      </w:r>
      <w:r>
        <w:rPr>
          <w:rStyle w:val="NormalTok"/>
        </w:rPr>
        <w:t xml:space="preserve">  </w:t>
      </w:r>
      <w:r>
        <w:rPr>
          <w:rStyle w:val="AttributeTok"/>
        </w:rPr>
        <w:t xml:space="preserve">zero.policy =</w:t>
      </w:r>
      <w:r>
        <w:rPr>
          <w:rStyle w:val="NormalTok"/>
        </w:rPr>
        <w:t xml:space="preserve"> T,</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br/>
      </w:r>
      <w:r>
        <w:rPr>
          <w:rStyle w:val="NormalTok"/>
        </w:rPr>
        <w:t xml:space="preserve">)</w:t>
      </w:r>
    </w:p>
    <w:p>
      <w:pPr>
        <w:pStyle w:val="SourceCode"/>
      </w:pPr>
      <w:r>
        <w:rPr>
          <w:rStyle w:val="VerbatimChar"/>
        </w:rPr>
        <w:t xml:space="preserve">## </w:t>
      </w:r>
      <w:r>
        <w:br/>
      </w:r>
      <w:r>
        <w:rPr>
          <w:rStyle w:val="VerbatimChar"/>
        </w:rPr>
        <w:t xml:space="preserve">##  Moran I test under randomisation</w:t>
      </w:r>
      <w:r>
        <w:br/>
      </w:r>
      <w:r>
        <w:rPr>
          <w:rStyle w:val="VerbatimChar"/>
        </w:rPr>
        <w:t xml:space="preserve">## </w:t>
      </w:r>
      <w:r>
        <w:br/>
      </w:r>
      <w:r>
        <w:rPr>
          <w:rStyle w:val="VerbatimChar"/>
        </w:rPr>
        <w:t xml:space="preserve">## data:  NC_UTM$MNEM2000  </w:t>
      </w:r>
      <w:r>
        <w:br/>
      </w:r>
      <w:r>
        <w:rPr>
          <w:rStyle w:val="VerbatimChar"/>
        </w:rPr>
        <w:t xml:space="preserve">## weights: rook_nb_w    </w:t>
      </w:r>
      <w:r>
        <w:br/>
      </w:r>
      <w:r>
        <w:rPr>
          <w:rStyle w:val="VerbatimChar"/>
        </w:rPr>
        <w:t xml:space="preserve">## </w:t>
      </w:r>
      <w:r>
        <w:br/>
      </w:r>
      <w:r>
        <w:rPr>
          <w:rStyle w:val="VerbatimChar"/>
        </w:rPr>
        <w:t xml:space="preserve">## Moran I statistic standard deviate = 6.3762, p-value = 1.815e-10</w:t>
      </w:r>
      <w:r>
        <w:br/>
      </w:r>
      <w:r>
        <w:rPr>
          <w:rStyle w:val="VerbatimChar"/>
        </w:rPr>
        <w:t xml:space="preserve">## alternative hypothesis: two.sided</w:t>
      </w:r>
      <w:r>
        <w:br/>
      </w:r>
      <w:r>
        <w:rPr>
          <w:rStyle w:val="VerbatimChar"/>
        </w:rPr>
        <w:t xml:space="preserve">## sample estimates:</w:t>
      </w:r>
      <w:r>
        <w:br/>
      </w:r>
      <w:r>
        <w:rPr>
          <w:rStyle w:val="VerbatimChar"/>
        </w:rPr>
        <w:t xml:space="preserve">## Moran I statistic       Expectation          Variance </w:t>
      </w:r>
      <w:r>
        <w:br/>
      </w:r>
      <w:r>
        <w:rPr>
          <w:rStyle w:val="VerbatimChar"/>
        </w:rPr>
        <w:t xml:space="preserve">##       0.404484123      -0.010101010       0.004227639</w:t>
      </w:r>
    </w:p>
    <w:p>
      <w:pPr>
        <w:pStyle w:val="FirstParagraph"/>
      </w:pPr>
      <w:r>
        <w:t xml:space="preserve">Did anything change? It looks like our</w:t>
      </w:r>
      <w:r>
        <w:t xml:space="preserve"> </w:t>
      </w:r>
      <m:oMath>
        <m:r>
          <m:t>I</m:t>
        </m:r>
      </m:oMath>
      <w:r>
        <w:t xml:space="preserve"> </w:t>
      </w:r>
      <w:r>
        <w:t xml:space="preserve">changed slightly, but our</w:t>
      </w:r>
      <w:r>
        <w:t xml:space="preserve"> </w:t>
      </w:r>
      <m:oMath>
        <m:r>
          <m:t>p</m:t>
        </m:r>
      </m:oMath>
      <w:r>
        <w:t xml:space="preserve">-value is still significant at</w:t>
      </w:r>
      <w:r>
        <w:t xml:space="preserve"> </w:t>
      </w:r>
      <m:oMath>
        <m:r>
          <m:t>α</m:t>
        </m:r>
        <m:r>
          <m:rPr>
            <m:sty m:val="p"/>
          </m:rPr>
          <m:t>=</m:t>
        </m:r>
        <m:r>
          <m:t>0.05</m:t>
        </m:r>
      </m:oMath>
      <w:r>
        <w:t xml:space="preserve">, but suggests that our Moran’s I can be sensitive to changes in our spatial weights matrix.</w:t>
      </w:r>
    </w:p>
    <w:bookmarkStart w:id="38" w:name="questions-1"/>
    <w:p>
      <w:pPr>
        <w:pStyle w:val="Heading2"/>
      </w:pPr>
      <w:r>
        <w:t xml:space="preserve">Questions</w:t>
      </w:r>
    </w:p>
    <w:p>
      <w:pPr>
        <w:pStyle w:val="FirstParagraph"/>
      </w:pPr>
      <w:r>
        <w:rPr>
          <w:bCs/>
          <w:b/>
        </w:rPr>
        <w:t xml:space="preserve">2. Calculate Moran’s I for the</w:t>
      </w:r>
      <w:r>
        <w:rPr>
          <w:bCs/>
          <w:b/>
        </w:rPr>
        <w:t xml:space="preserve"> </w:t>
      </w:r>
      <w:r>
        <w:rPr>
          <w:rStyle w:val="VerbatimChar"/>
          <w:bCs/>
          <w:b/>
        </w:rPr>
        <w:t xml:space="preserve">MNEM2000</w:t>
      </w:r>
      <w:r>
        <w:rPr>
          <w:bCs/>
          <w:b/>
        </w:rPr>
        <w:t xml:space="preserve"> </w:t>
      </w:r>
      <w:r>
        <w:rPr>
          <w:bCs/>
          <w:b/>
        </w:rPr>
        <w:t xml:space="preserve">variable using four different versions of</w:t>
      </w:r>
      <w:r>
        <w:rPr>
          <w:bCs/>
          <w:b/>
        </w:rPr>
        <w:t xml:space="preserve"> </w:t>
      </w:r>
      <m:oMath>
        <m:sSub>
          <m:e>
            <m:r>
              <m:t>W</m:t>
            </m:r>
          </m:e>
          <m:sub>
            <m:r>
              <m:t>i</m:t>
            </m:r>
            <m:r>
              <m:t>j</m:t>
            </m:r>
          </m:sub>
        </m:sSub>
      </m:oMath>
      <w:r>
        <w:rPr>
          <w:bCs/>
          <w:b/>
        </w:rPr>
        <w:t xml:space="preserve">:</w:t>
      </w:r>
    </w:p>
    <w:p>
      <w:pPr>
        <w:numPr>
          <w:ilvl w:val="0"/>
          <w:numId w:val="1004"/>
        </w:numPr>
        <w:pStyle w:val="Compact"/>
      </w:pPr>
      <w:r>
        <w:t xml:space="preserve">Queen’s Case</w:t>
      </w:r>
    </w:p>
    <w:p>
      <w:pPr>
        <w:numPr>
          <w:ilvl w:val="0"/>
          <w:numId w:val="1004"/>
        </w:numPr>
        <w:pStyle w:val="Compact"/>
      </w:pPr>
      <w:r>
        <w:t xml:space="preserve">Rook’s Case</w:t>
      </w:r>
    </w:p>
    <w:p>
      <w:pPr>
        <w:numPr>
          <w:ilvl w:val="0"/>
          <w:numId w:val="1004"/>
        </w:numPr>
        <w:pStyle w:val="Compact"/>
      </w:pPr>
      <m:oMath>
        <m:r>
          <m:t>k</m:t>
        </m:r>
        <m:r>
          <m:rPr>
            <m:sty m:val="p"/>
          </m:rPr>
          <m:t>=</m:t>
        </m:r>
        <m:r>
          <m:t>4</m:t>
        </m:r>
      </m:oMath>
      <w:r>
        <w:t xml:space="preserve"> </w:t>
      </w:r>
      <w:r>
        <w:t xml:space="preserve">nearest neighbors</w:t>
      </w:r>
    </w:p>
    <w:p>
      <w:pPr>
        <w:numPr>
          <w:ilvl w:val="0"/>
          <w:numId w:val="1004"/>
        </w:numPr>
        <w:pStyle w:val="Compact"/>
      </w:pPr>
      <w:r>
        <w:t xml:space="preserve">Maximum Distance (100% threshold)</w:t>
      </w:r>
    </w:p>
    <w:p>
      <w:pPr>
        <w:pStyle w:val="FirstParagraph"/>
      </w:pPr>
      <w:r>
        <w:rPr>
          <w:bCs/>
          <w:b/>
        </w:rPr>
        <w:t xml:space="preserve">Make sure your weights matrices are row standardized. Provide a table that summarized the calculated I,</w:t>
      </w:r>
      <w:r>
        <w:rPr>
          <w:bCs/>
          <w:b/>
        </w:rPr>
        <w:t xml:space="preserve"> </w:t>
      </w:r>
      <m:oMath>
        <m:r>
          <m:t>p</m:t>
        </m:r>
      </m:oMath>
      <w:r>
        <w:rPr>
          <w:bCs/>
          <w:b/>
        </w:rPr>
        <w:t xml:space="preserve">-values, and average number of connections per county. Discuss any systematic changes you observe in I,</w:t>
      </w:r>
      <w:r>
        <w:rPr>
          <w:bCs/>
          <w:b/>
        </w:rPr>
        <w:t xml:space="preserve"> </w:t>
      </w:r>
      <m:oMath>
        <m:r>
          <m:t>p</m:t>
        </m:r>
      </m:oMath>
      <w:r>
        <w:rPr>
          <w:bCs/>
          <w:b/>
        </w:rPr>
        <w:t xml:space="preserve">-values, and average links.</w:t>
      </w:r>
    </w:p>
    <w:p>
      <w:r>
        <w:pict>
          <v:rect style="width:0;height:1.5pt" o:hralign="center" o:hrstd="t" o:hr="t"/>
        </w:pict>
      </w:r>
    </w:p>
    <w:p>
      <w:r>
        <w:pict>
          <v:rect style="width:0;height:1.5pt" o:hralign="center" o:hrstd="t" o:hr="t"/>
        </w:pict>
      </w:r>
    </w:p>
    <w:bookmarkEnd w:id="38"/>
    <w:bookmarkEnd w:id="39"/>
    <w:bookmarkStart w:id="47" w:name="spatial-correlogram"/>
    <w:p>
      <w:pPr>
        <w:pStyle w:val="Heading1"/>
      </w:pPr>
      <w:r>
        <w:t xml:space="preserve">Spatial Correlogram</w:t>
      </w:r>
    </w:p>
    <w:p>
      <w:pPr>
        <w:pStyle w:val="FirstParagraph"/>
      </w:pPr>
      <w:r>
        <w:t xml:space="preserve">If we want to explore how spatial autocorrelation changes over distance, we can create a spatial correlogram. This is a graph with a measure of spatial autocorrelation on the y axis and the different distance-based or boundary-based</w:t>
      </w:r>
      <w:r>
        <w:t xml:space="preserve"> </w:t>
      </w:r>
      <w:r>
        <w:t xml:space="preserve">“</w:t>
      </w:r>
      <w:r>
        <w:t xml:space="preserve">bands</w:t>
      </w:r>
      <w:r>
        <w:t xml:space="preserve">”</w:t>
      </w:r>
      <w:r>
        <w:t xml:space="preserve"> </w:t>
      </w:r>
      <w:r>
        <w:t xml:space="preserve">on the x axis. Consider the example of a Queen’s case spatial weights matrix: we could also define</w:t>
      </w:r>
      <w:r>
        <w:t xml:space="preserve"> </w:t>
      </w:r>
      <w:r>
        <w:t xml:space="preserve">“</w:t>
      </w:r>
      <w:r>
        <w:t xml:space="preserve">2</w:t>
      </w:r>
      <w:r>
        <w:rPr>
          <w:vertAlign w:val="superscript"/>
        </w:rPr>
        <w:t xml:space="preserve">nd</w:t>
      </w:r>
      <w:r>
        <w:t xml:space="preserve">-order neighbors</w:t>
      </w:r>
      <w:r>
        <w:t xml:space="preserve">”</w:t>
      </w:r>
      <w:r>
        <w:t xml:space="preserve">; these would be the neighbors to the original neighbors. For example:</w:t>
      </w:r>
    </w:p>
    <w:p>
      <w:pPr>
        <w:pStyle w:val="BodyText"/>
      </w:pPr>
      <w:r>
        <w:drawing>
          <wp:inline>
            <wp:extent cx="1926662" cy="1926662"/>
            <wp:effectExtent b="0" l="0" r="0" t="0"/>
            <wp:docPr descr="" title="" id="41" name="Picture"/>
            <a:graphic>
              <a:graphicData uri="http://schemas.openxmlformats.org/drawingml/2006/picture">
                <pic:pic>
                  <pic:nvPicPr>
                    <pic:cNvPr descr="img/R%20Module%209/neighbors.png" id="42" name="Picture"/>
                    <pic:cNvPicPr>
                      <a:picLocks noChangeArrowheads="1" noChangeAspect="1"/>
                    </pic:cNvPicPr>
                  </pic:nvPicPr>
                  <pic:blipFill>
                    <a:blip r:embed="rId40"/>
                    <a:stretch>
                      <a:fillRect/>
                    </a:stretch>
                  </pic:blipFill>
                  <pic:spPr bwMode="auto">
                    <a:xfrm>
                      <a:off x="0" y="0"/>
                      <a:ext cx="1926662" cy="1926662"/>
                    </a:xfrm>
                    <a:prstGeom prst="rect">
                      <a:avLst/>
                    </a:prstGeom>
                    <a:noFill/>
                    <a:ln w="9525">
                      <a:noFill/>
                      <a:headEnd/>
                      <a:tailEnd/>
                    </a:ln>
                  </pic:spPr>
                </pic:pic>
              </a:graphicData>
            </a:graphic>
          </wp:inline>
        </w:drawing>
      </w:r>
    </w:p>
    <w:p>
      <w:pPr>
        <w:pStyle w:val="BodyText"/>
      </w:pPr>
      <w:r>
        <w:t xml:space="preserve">The correlogram calculates Moran’s I at these different orders, called</w:t>
      </w:r>
      <w:r>
        <w:t xml:space="preserve"> </w:t>
      </w:r>
      <w:r>
        <w:t xml:space="preserve">“</w:t>
      </w:r>
      <w:r>
        <w:t xml:space="preserve">lags</w:t>
      </w:r>
      <w:r>
        <w:t xml:space="preserve">”</w:t>
      </w:r>
      <w:r>
        <w:t xml:space="preserve">, to assess how spatial autocorrelation varies across distance. When you create the correlogram, you need to specify how many lags you want, and which autocorrelation test to perform (we’ll use Moran’s I).</w:t>
      </w:r>
    </w:p>
    <w:p>
      <w:pPr>
        <w:pStyle w:val="BodyText"/>
      </w:pPr>
      <w:r>
        <w:t xml:space="preserve">Let’s do this for our</w:t>
      </w:r>
      <w:r>
        <w:t xml:space="preserve"> </w:t>
      </w:r>
      <w:r>
        <w:rPr>
          <w:rStyle w:val="VerbatimChar"/>
        </w:rPr>
        <w:t xml:space="preserve">MNEM2000</w:t>
      </w:r>
      <w:r>
        <w:t xml:space="preserve"> </w:t>
      </w:r>
      <w:r>
        <w:t xml:space="preserve">variable using a Queen’s case</w:t>
      </w:r>
      <w:r>
        <w:t xml:space="preserve"> </w:t>
      </w:r>
      <m:oMath>
        <m:sSub>
          <m:e>
            <m:r>
              <m:t>W</m:t>
            </m:r>
          </m:e>
          <m:sub>
            <m:r>
              <m:t>i</m:t>
            </m:r>
            <m:r>
              <m:t>j</m:t>
            </m:r>
          </m:sub>
        </m:sSub>
      </m:oMath>
      <w:r>
        <w:t xml:space="preserve"> </w:t>
      </w:r>
      <w:r>
        <w:t xml:space="preserve">and 4 lags. In this function, we specify the</w:t>
      </w:r>
      <w:r>
        <w:t xml:space="preserve"> </w:t>
      </w:r>
      <w:r>
        <w:rPr>
          <w:bCs/>
          <w:b/>
        </w:rPr>
        <w:t xml:space="preserve">non-weighted</w:t>
      </w:r>
      <w:r>
        <w:t xml:space="preserve"> </w:t>
      </w:r>
      <w:r>
        <w:t xml:space="preserve">neighbor object (</w:t>
      </w:r>
      <w:r>
        <w:rPr>
          <w:rStyle w:val="VerbatimChar"/>
        </w:rPr>
        <w:t xml:space="preserve">queen_nb</w:t>
      </w:r>
      <w:r>
        <w:t xml:space="preserve">, not</w:t>
      </w:r>
      <w:r>
        <w:t xml:space="preserve"> </w:t>
      </w:r>
      <w:r>
        <w:rPr>
          <w:rStyle w:val="VerbatimChar"/>
        </w:rPr>
        <w:t xml:space="preserve">queen_nb_w</w:t>
      </w:r>
      <w:r>
        <w:t xml:space="preserve">), the number of lags (4), and that we’re using Moran’s I for our test:</w:t>
      </w:r>
    </w:p>
    <w:p>
      <w:pPr>
        <w:pStyle w:val="SourceCode"/>
      </w:pPr>
      <w:r>
        <w:rPr>
          <w:rStyle w:val="NormalTok"/>
        </w:rPr>
        <w:t xml:space="preserve">corr_gram </w:t>
      </w:r>
      <w:r>
        <w:rPr>
          <w:rStyle w:val="OtherTok"/>
        </w:rPr>
        <w:t xml:space="preserve">&lt;-</w:t>
      </w:r>
      <w:r>
        <w:rPr>
          <w:rStyle w:val="NormalTok"/>
        </w:rPr>
        <w:t xml:space="preserve"> </w:t>
      </w:r>
      <w:r>
        <w:rPr>
          <w:rStyle w:val="FunctionTok"/>
        </w:rPr>
        <w:t xml:space="preserve">sp.correlogram</w:t>
      </w:r>
      <w:r>
        <w:rPr>
          <w:rStyle w:val="NormalTok"/>
        </w:rPr>
        <w:t xml:space="preserve">(</w:t>
      </w:r>
      <w:r>
        <w:br/>
      </w:r>
      <w:r>
        <w:rPr>
          <w:rStyle w:val="NormalTok"/>
        </w:rPr>
        <w:t xml:space="preserve">  </w:t>
      </w:r>
      <w:r>
        <w:rPr>
          <w:rStyle w:val="AttributeTok"/>
        </w:rPr>
        <w:t xml:space="preserve">neighbours =</w:t>
      </w:r>
      <w:r>
        <w:rPr>
          <w:rStyle w:val="NormalTok"/>
        </w:rPr>
        <w:t xml:space="preserve"> queen_nb,</w:t>
      </w:r>
      <w:r>
        <w:br/>
      </w:r>
      <w:r>
        <w:rPr>
          <w:rStyle w:val="NormalTok"/>
        </w:rPr>
        <w:t xml:space="preserve">  </w:t>
      </w:r>
      <w:r>
        <w:rPr>
          <w:rStyle w:val="AttributeTok"/>
        </w:rPr>
        <w:t xml:space="preserve">var =</w:t>
      </w:r>
      <w:r>
        <w:rPr>
          <w:rStyle w:val="NormalTok"/>
        </w:rPr>
        <w:t xml:space="preserve"> NC_UTM</w:t>
      </w:r>
      <w:r>
        <w:rPr>
          <w:rStyle w:val="SpecialCharTok"/>
        </w:rPr>
        <w:t xml:space="preserve">$</w:t>
      </w:r>
      <w:r>
        <w:rPr>
          <w:rStyle w:val="NormalTok"/>
        </w:rPr>
        <w:t xml:space="preserve">MNEM2000,</w:t>
      </w:r>
      <w:r>
        <w:br/>
      </w:r>
      <w:r>
        <w:rPr>
          <w:rStyle w:val="NormalTok"/>
        </w:rPr>
        <w:t xml:space="preserve">  </w:t>
      </w:r>
      <w:r>
        <w:rPr>
          <w:rStyle w:val="AttributeTok"/>
        </w:rPr>
        <w:t xml:space="preserve">order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"I"</w:t>
      </w:r>
      <w:r>
        <w:rPr>
          <w:rStyle w:val="NormalTok"/>
        </w:rPr>
        <w:t xml:space="preserve">,</w:t>
      </w:r>
      <w:r>
        <w:br/>
      </w:r>
      <w:r>
        <w:rPr>
          <w:rStyle w:val="NormalTok"/>
        </w:rPr>
        <w:t xml:space="preserve">  </w:t>
      </w:r>
      <w:r>
        <w:rPr>
          <w:rStyle w:val="AttributeTok"/>
        </w:rPr>
        <w:t xml:space="preserve">style =</w:t>
      </w:r>
      <w:r>
        <w:rPr>
          <w:rStyle w:val="NormalTok"/>
        </w:rPr>
        <w:t xml:space="preserve"> </w:t>
      </w:r>
      <w:r>
        <w:rPr>
          <w:rStyle w:val="StringTok"/>
        </w:rPr>
        <w:t xml:space="preserve">"W"</w:t>
      </w:r>
      <w:r>
        <w:rPr>
          <w:rStyle w:val="NormalTok"/>
        </w:rPr>
        <w:t xml:space="preserve">,</w:t>
      </w:r>
      <w:r>
        <w:br/>
      </w:r>
      <w:r>
        <w:rPr>
          <w:rStyle w:val="NormalTok"/>
        </w:rPr>
        <w:t xml:space="preserve">  </w:t>
      </w:r>
      <w:r>
        <w:rPr>
          <w:rStyle w:val="AttributeTok"/>
        </w:rPr>
        <w:t xml:space="preserve">zero.policy =</w:t>
      </w:r>
      <w:r>
        <w:rPr>
          <w:rStyle w:val="NormalTok"/>
        </w:rPr>
        <w:t xml:space="preserve"> </w:t>
      </w:r>
      <w:r>
        <w:rPr>
          <w:rStyle w:val="ConstantTok"/>
        </w:rPr>
        <w:t xml:space="preserve">TRUE</w:t>
      </w:r>
      <w:r>
        <w:br/>
      </w:r>
      <w:r>
        <w:rPr>
          <w:rStyle w:val="NormalTok"/>
        </w:rPr>
        <w:t xml:space="preserve">)</w:t>
      </w:r>
      <w:r>
        <w:br/>
      </w:r>
      <w:r>
        <w:br/>
      </w:r>
      <w:r>
        <w:br/>
      </w:r>
      <w:r>
        <w:rPr>
          <w:rStyle w:val="FunctionTok"/>
        </w:rPr>
        <w:t xml:space="preserve">plot</w:t>
      </w:r>
      <w:r>
        <w:rPr>
          <w:rStyle w:val="NormalTok"/>
        </w:rPr>
        <w:t xml:space="preserve">(corr_gram)</w:t>
      </w:r>
    </w:p>
    <w:p>
      <w:pPr>
        <w:pStyle w:val="FirstParagraph"/>
      </w:pPr>
      <w:r>
        <w:drawing>
          <wp:inline>
            <wp:extent cx="4620126" cy="3696101"/>
            <wp:effectExtent b="0" l="0" r="0" t="0"/>
            <wp:docPr descr="" title="" id="44" name="Picture"/>
            <a:graphic>
              <a:graphicData uri="http://schemas.openxmlformats.org/drawingml/2006/picture">
                <pic:pic>
                  <pic:nvPicPr>
                    <pic:cNvPr descr="C:/brownhr/r-modules/rendered_docs/RModule9_files/figure-docx/correlogram-1-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What this is telling us is that the manufacturing count for a given county is similar to its neighboring counties and less similar the further away these counties are. If we were to plot more lags, we might see Moran’s I rise again. If so, this would indicate that there was a significant distance between manufacturing centers within the state, something suggested by our previous results.</w:t>
      </w:r>
    </w:p>
    <w:bookmarkStart w:id="46" w:name="questions-2"/>
    <w:p>
      <w:pPr>
        <w:pStyle w:val="Heading2"/>
      </w:pPr>
      <w:r>
        <w:t xml:space="preserve">Questions</w:t>
      </w:r>
    </w:p>
    <w:p>
      <w:pPr>
        <w:pStyle w:val="FirstParagraph"/>
      </w:pPr>
      <w:r>
        <w:rPr>
          <w:bCs/>
          <w:b/>
        </w:rPr>
        <w:t xml:space="preserve">3. Create and provide the spatial correlogram plots for the</w:t>
      </w:r>
      <w:r>
        <w:rPr>
          <w:bCs/>
          <w:b/>
        </w:rPr>
        <w:t xml:space="preserve"> </w:t>
      </w:r>
      <w:r>
        <w:rPr>
          <w:rStyle w:val="VerbatimChar"/>
          <w:bCs/>
          <w:b/>
        </w:rPr>
        <w:t xml:space="preserve">MNEM2000</w:t>
      </w:r>
      <w:r>
        <w:rPr>
          <w:bCs/>
          <w:b/>
        </w:rPr>
        <w:t xml:space="preserve"> </w:t>
      </w:r>
      <w:r>
        <w:rPr>
          <w:bCs/>
          <w:b/>
        </w:rPr>
        <w:t xml:space="preserve">variable, using the Queen’s case, Rook’s case,</w:t>
      </w:r>
      <w:r>
        <w:rPr>
          <w:bCs/>
          <w:b/>
        </w:rPr>
        <w:t xml:space="preserve"> </w:t>
      </w:r>
      <m:oMath>
        <m:r>
          <m:t>k</m:t>
        </m:r>
        <m:r>
          <m:rPr>
            <m:sty m:val="p"/>
          </m:rPr>
          <m:t>=</m:t>
        </m:r>
        <m:r>
          <m:t>4</m:t>
        </m:r>
      </m:oMath>
      <w:r>
        <w:rPr>
          <w:bCs/>
          <w:b/>
        </w:rPr>
        <w:t xml:space="preserve"> </w:t>
      </w:r>
      <w:r>
        <w:rPr>
          <w:bCs/>
          <w:b/>
        </w:rPr>
        <w:t xml:space="preserve">nearest neighbors, and Maximum Distance spatial weights matrices. Make sure to label the plots! What is the general relationship between manufacturing and distance that can be derived from these plots?</w:t>
      </w:r>
    </w:p>
    <w:p>
      <w:r>
        <w:pict>
          <v:rect style="width:0;height:1.5pt" o:hralign="center" o:hrstd="t" o:hr="t"/>
        </w:pict>
      </w:r>
    </w:p>
    <w:p>
      <w:r>
        <w:pict>
          <v:rect style="width:0;height:1.5pt" o:hralign="center" o:hrstd="t" o:hr="t"/>
        </w:pict>
      </w:r>
    </w:p>
    <w:bookmarkEnd w:id="46"/>
    <w:bookmarkEnd w:id="47"/>
    <w:bookmarkStart w:id="56" w:name="local-morans-i"/>
    <w:p>
      <w:pPr>
        <w:pStyle w:val="Heading1"/>
      </w:pPr>
      <w:r>
        <w:t xml:space="preserve">Local Moran’s I</w:t>
      </w:r>
    </w:p>
    <w:p>
      <w:pPr>
        <w:pStyle w:val="FirstParagraph"/>
      </w:pPr>
      <w:r>
        <w:t xml:space="preserve">The</w:t>
      </w:r>
      <w:r>
        <w:t xml:space="preserve"> </w:t>
      </w:r>
      <w:r>
        <w:rPr>
          <w:iCs/>
          <w:i/>
        </w:rPr>
        <w:t xml:space="preserve">global</w:t>
      </w:r>
      <w:r>
        <w:t xml:space="preserve"> </w:t>
      </w:r>
      <w:r>
        <w:t xml:space="preserve">Moran’s I provides a single statistic that describes the</w:t>
      </w:r>
      <w:r>
        <w:t xml:space="preserve"> </w:t>
      </w:r>
      <w:r>
        <w:t xml:space="preserve">“</w:t>
      </w:r>
      <w:r>
        <w:t xml:space="preserve">overall</w:t>
      </w:r>
      <w:r>
        <w:t xml:space="preserve">”</w:t>
      </w:r>
      <w:r>
        <w:t xml:space="preserve"> </w:t>
      </w:r>
      <w:r>
        <w:t xml:space="preserve">spatial autocorrelation of a variable, but doesn’t actually tell us</w:t>
      </w:r>
      <w:r>
        <w:t xml:space="preserve"> </w:t>
      </w:r>
      <w:r>
        <w:rPr>
          <w:iCs/>
          <w:i/>
        </w:rPr>
        <w:t xml:space="preserve">where</w:t>
      </w:r>
      <w:r>
        <w:t xml:space="preserve"> </w:t>
      </w:r>
      <w:r>
        <w:t xml:space="preserve">we find clustering among our spatial units. Another consideration is that there is a specific set or region of spatial units that are contributing to a significant global Moran’s I value; for example, perhaps</w:t>
      </w:r>
      <w:r>
        <w:t xml:space="preserve"> </w:t>
      </w:r>
      <w:r>
        <w:rPr>
          <w:rStyle w:val="VerbatimChar"/>
        </w:rPr>
        <w:t xml:space="preserve">MNEM2000</w:t>
      </w:r>
      <w:r>
        <w:t xml:space="preserve"> </w:t>
      </w:r>
      <w:r>
        <w:t xml:space="preserve">is only autocorrelated in the Piedmont region, or in the peripheries, etc.</w:t>
      </w:r>
    </w:p>
    <w:p>
      <w:pPr>
        <w:pStyle w:val="BodyText"/>
      </w:pPr>
      <w:r>
        <w:t xml:space="preserve">To address these questions, we need a</w:t>
      </w:r>
      <w:r>
        <w:t xml:space="preserve"> </w:t>
      </w:r>
      <w:r>
        <w:rPr>
          <w:bCs/>
          <w:b/>
        </w:rPr>
        <w:t xml:space="preserve">Local Indicator of Spatial Autocorrelation</w:t>
      </w:r>
      <w:r>
        <w:t xml:space="preserve"> </w:t>
      </w:r>
      <w:r>
        <w:t xml:space="preserve">(LISA). The</w:t>
      </w:r>
      <w:r>
        <w:t xml:space="preserve"> </w:t>
      </w:r>
      <w:r>
        <w:t xml:space="preserve">“</w:t>
      </w:r>
      <w:r>
        <w:t xml:space="preserve">local Moran’s I</w:t>
      </w:r>
      <w:r>
        <w:t xml:space="preserve">”</w:t>
      </w:r>
      <w:r>
        <w:t xml:space="preserve"> </w:t>
      </w:r>
      <w:r>
        <w:t xml:space="preserve">is exactly such a statistic, and it returns a value for each area or point using our</w:t>
      </w:r>
      <w:r>
        <w:t xml:space="preserve"> </w:t>
      </w:r>
      <m:oMath>
        <m:sSub>
          <m:e>
            <m:r>
              <m:t>W</m:t>
            </m:r>
          </m:e>
          <m:sub>
            <m:r>
              <m:t>i</m:t>
            </m:r>
            <m:r>
              <m:t>j</m:t>
            </m:r>
          </m:sub>
        </m:sSub>
      </m:oMath>
      <w:r>
        <w:t xml:space="preserve"> </w:t>
      </w:r>
      <w:r>
        <w:t xml:space="preserve">to define the neighborhood around each area or point.</w:t>
      </w:r>
    </w:p>
    <w:p>
      <w:pPr>
        <w:pStyle w:val="BodyText"/>
      </w:pPr>
      <w:r>
        <w:t xml:space="preserve">As shown below, the formula to calculate the local Moran’s I is different the the formula we saw earlier:</w:t>
      </w:r>
    </w:p>
    <w:p>
      <w:pPr>
        <w:pStyle w:val="BodyText"/>
      </w:pPr>
      <m:oMath>
        <m:sSub>
          <m:e>
            <m:r>
              <m:t>I</m:t>
            </m:r>
          </m:e>
          <m:sub>
            <m:r>
              <m:t>i</m:t>
            </m:r>
          </m:sub>
        </m:sSub>
        <m:r>
          <m:rPr>
            <m:sty m:val="p"/>
          </m:rPr>
          <m:t>=</m:t>
        </m:r>
        <m:sSub>
          <m:e>
            <m:r>
              <m:t>z</m:t>
            </m:r>
          </m:e>
          <m:sub>
            <m:r>
              <m:t>i</m:t>
            </m:r>
          </m:sub>
        </m:sSub>
        <m:nary>
          <m:naryPr>
            <m:chr m:val="∑"/>
            <m:limLoc m:val="undOvr"/>
            <m:subHide m:val="0"/>
            <m:supHide m:val="1"/>
          </m:naryPr>
          <m:sub>
            <m:r>
              <m:t>j</m:t>
            </m:r>
          </m:sub>
          <m:sup>
            <m:r>
              <m:t>​</m:t>
            </m:r>
          </m:sup>
          <m:e>
            <m:sSub>
              <m:e>
                <m:r>
                  <m:t>W</m:t>
                </m:r>
              </m:e>
              <m:sub>
                <m:r>
                  <m:t>i</m:t>
                </m:r>
                <m:r>
                  <m:t>j</m:t>
                </m:r>
              </m:sub>
            </m:sSub>
          </m:e>
        </m:nary>
        <m:sSub>
          <m:e>
            <m:r>
              <m:t>z</m:t>
            </m:r>
          </m:e>
          <m:sub>
            <m:r>
              <m:t>j</m:t>
            </m:r>
          </m:sub>
        </m:sSub>
      </m:oMath>
      <w:r>
        <w:t xml:space="preserve">, where</w:t>
      </w:r>
      <w:r>
        <w:t xml:space="preserve"> </w:t>
      </w:r>
      <m:oMath>
        <m:sSub>
          <m:e>
            <m:r>
              <m:t>z</m:t>
            </m:r>
          </m:e>
          <m:sub>
            <m:r>
              <m:t>i</m:t>
            </m:r>
          </m:sub>
        </m:sSub>
      </m:oMath>
      <w:r>
        <w:t xml:space="preserve"> </w:t>
      </w:r>
      <w:r>
        <w:t xml:space="preserve">and</w:t>
      </w:r>
      <w:r>
        <w:t xml:space="preserve"> </w:t>
      </w:r>
      <m:oMath>
        <m:sSub>
          <m:e>
            <m:r>
              <m:t>z</m:t>
            </m:r>
          </m:e>
          <m:sub>
            <m:r>
              <m:t>j</m:t>
            </m:r>
          </m:sub>
        </m:sSub>
      </m:oMath>
      <w:r>
        <w:t xml:space="preserve"> </w:t>
      </w:r>
      <w:r>
        <w:t xml:space="preserve">represent the deviations from the mean.</w:t>
      </w:r>
    </w:p>
    <w:p>
      <w:pPr>
        <w:pStyle w:val="BodyText"/>
      </w:pPr>
      <w:r>
        <w:t xml:space="preserve">Rather than summarize spatial autocorrelation into a single value, local Moran’s I assigns a measure of spatial autocorrelation to each spatial unit. It does this by calculating the average value of the variable, for example</w:t>
      </w:r>
      <w:r>
        <w:t xml:space="preserve"> </w:t>
      </w:r>
      <w:r>
        <w:rPr>
          <w:rStyle w:val="VerbatimChar"/>
        </w:rPr>
        <w:t xml:space="preserve">MNEM2000</w:t>
      </w:r>
      <w:r>
        <w:t xml:space="preserve">, among neighboring units, which is called the lag variable. Then, the value of each lag is compared to the value in the focal unit; if the value in the lag is similar to the value of the focal unit, we have positive local spatial autocorrelation.</w:t>
      </w:r>
    </w:p>
    <w:p>
      <w:pPr>
        <w:pStyle w:val="BodyText"/>
      </w:pPr>
      <w:r>
        <w:t xml:space="preserve">This process is repeated for every spatial unit in the data, resulting in new localized measures. Because we will have a measure for every unit, we can explore the resulting patterns using scatter plots and maps. We won’t have a single</w:t>
      </w:r>
      <w:r>
        <w:t xml:space="preserve"> </w:t>
      </w:r>
      <m:oMath>
        <m:r>
          <m:t>p</m:t>
        </m:r>
      </m:oMath>
      <w:r>
        <w:t xml:space="preserve">-value either; instead, we’ll have a</w:t>
      </w:r>
      <w:r>
        <w:t xml:space="preserve"> </w:t>
      </w:r>
      <m:oMath>
        <m:r>
          <m:t>p</m:t>
        </m:r>
      </m:oMath>
      <w:r>
        <w:t xml:space="preserve">-value for each</w:t>
      </w:r>
      <w:r>
        <w:t xml:space="preserve"> </w:t>
      </w:r>
      <w:r>
        <w:t xml:space="preserve">‘</w:t>
      </w:r>
      <w:r>
        <w:t xml:space="preserve">neighborhood</w:t>
      </w:r>
      <w:r>
        <w:t xml:space="preserve">’</w:t>
      </w:r>
      <w:r>
        <w:t xml:space="preserve">.</w:t>
      </w:r>
    </w:p>
    <w:p>
      <w:r>
        <w:pict>
          <v:rect style="width:0;height:1.5pt" o:hralign="center" o:hrstd="t" o:hr="t"/>
        </w:pict>
      </w:r>
    </w:p>
    <w:bookmarkStart w:id="54" w:name="calculating-local-morans-i"/>
    <w:p>
      <w:pPr>
        <w:pStyle w:val="Heading2"/>
      </w:pPr>
      <w:r>
        <w:t xml:space="preserve">Calculating Local Moran’s I</w:t>
      </w:r>
    </w:p>
    <w:p>
      <w:pPr>
        <w:pStyle w:val="FirstParagraph"/>
      </w:pPr>
      <w:r>
        <w:t xml:space="preserve">To calculate Local Moran’s I, we’ll use the</w:t>
      </w:r>
      <w:r>
        <w:t xml:space="preserve"> </w:t>
      </w:r>
      <w:r>
        <w:rPr>
          <w:rStyle w:val="VerbatimChar"/>
        </w:rPr>
        <w:t xml:space="preserve">localmoran()</w:t>
      </w:r>
      <w:r>
        <w:t xml:space="preserve"> </w:t>
      </w:r>
      <w:r>
        <w:t xml:space="preserve">function from</w:t>
      </w:r>
      <w:r>
        <w:t xml:space="preserve"> </w:t>
      </w:r>
      <w:r>
        <w:rPr>
          <w:rStyle w:val="VerbatimChar"/>
        </w:rPr>
        <w:t xml:space="preserve">spdep</w:t>
      </w:r>
      <w:r>
        <w:t xml:space="preserve">. Just as with the global Moran’s I, we have to specify both the variable to test and the</w:t>
      </w:r>
      <w:r>
        <w:t xml:space="preserve"> </w:t>
      </w:r>
      <m:oMath>
        <m:sSub>
          <m:e>
            <m:r>
              <m:t>W</m:t>
            </m:r>
          </m:e>
          <m:sub>
            <m:r>
              <m:t>i</m:t>
            </m:r>
            <m:r>
              <m:t>j</m:t>
            </m:r>
          </m:sub>
        </m:sSub>
      </m:oMath>
      <w:r>
        <w:t xml:space="preserve"> </w:t>
      </w:r>
      <w:r>
        <w:t xml:space="preserve">to use. Let’s use</w:t>
      </w:r>
      <w:r>
        <w:t xml:space="preserve"> </w:t>
      </w:r>
      <w:r>
        <w:rPr>
          <w:rStyle w:val="VerbatimChar"/>
        </w:rPr>
        <w:t xml:space="preserve">MNEM2000</w:t>
      </w:r>
      <w:r>
        <w:t xml:space="preserve"> </w:t>
      </w:r>
      <w:r>
        <w:t xml:space="preserve">again, and the Queen’s case matrix.</w:t>
      </w:r>
    </w:p>
    <w:p>
      <w:pPr>
        <w:pStyle w:val="SourceCode"/>
      </w:pPr>
      <w:r>
        <w:rPr>
          <w:rStyle w:val="NormalTok"/>
        </w:rPr>
        <w:t xml:space="preserve">local_moran_queen </w:t>
      </w:r>
      <w:r>
        <w:rPr>
          <w:rStyle w:val="OtherTok"/>
        </w:rPr>
        <w:t xml:space="preserve">&lt;-</w:t>
      </w:r>
      <w:r>
        <w:rPr>
          <w:rStyle w:val="NormalTok"/>
        </w:rPr>
        <w:t xml:space="preserve"> </w:t>
      </w:r>
      <w:r>
        <w:rPr>
          <w:rStyle w:val="FunctionTok"/>
        </w:rPr>
        <w:t xml:space="preserve">localmoran</w:t>
      </w:r>
      <w:r>
        <w:rPr>
          <w:rStyle w:val="NormalTok"/>
        </w:rPr>
        <w:t xml:space="preserve">(</w:t>
      </w:r>
      <w:r>
        <w:br/>
      </w:r>
      <w:r>
        <w:rPr>
          <w:rStyle w:val="NormalTok"/>
        </w:rPr>
        <w:t xml:space="preserve">  </w:t>
      </w:r>
      <w:r>
        <w:rPr>
          <w:rStyle w:val="AttributeTok"/>
        </w:rPr>
        <w:t xml:space="preserve">x =</w:t>
      </w:r>
      <w:r>
        <w:rPr>
          <w:rStyle w:val="NormalTok"/>
        </w:rPr>
        <w:t xml:space="preserve"> NC_UTM</w:t>
      </w:r>
      <w:r>
        <w:rPr>
          <w:rStyle w:val="SpecialCharTok"/>
        </w:rPr>
        <w:t xml:space="preserve">$</w:t>
      </w:r>
      <w:r>
        <w:rPr>
          <w:rStyle w:val="NormalTok"/>
        </w:rPr>
        <w:t xml:space="preserve">MNEM2000,</w:t>
      </w:r>
      <w:r>
        <w:br/>
      </w:r>
      <w:r>
        <w:rPr>
          <w:rStyle w:val="NormalTok"/>
        </w:rPr>
        <w:t xml:space="preserve">  </w:t>
      </w:r>
      <w:r>
        <w:rPr>
          <w:rStyle w:val="AttributeTok"/>
        </w:rPr>
        <w:t xml:space="preserve">listw =</w:t>
      </w:r>
      <w:r>
        <w:rPr>
          <w:rStyle w:val="NormalTok"/>
        </w:rPr>
        <w:t xml:space="preserve"> queen_nb_w,</w:t>
      </w:r>
      <w:r>
        <w:br/>
      </w:r>
      <w:r>
        <w:rPr>
          <w:rStyle w:val="NormalTok"/>
        </w:rPr>
        <w:t xml:space="preserve">  </w:t>
      </w:r>
      <w:r>
        <w:rPr>
          <w:rStyle w:val="AttributeTok"/>
        </w:rPr>
        <w:t xml:space="preserve">zero.policy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br/>
      </w:r>
      <w:r>
        <w:rPr>
          <w:rStyle w:val="NormalTok"/>
        </w:rPr>
        <w:t xml:space="preserve">)</w:t>
      </w:r>
      <w:r>
        <w:br/>
      </w:r>
      <w:r>
        <w:br/>
      </w:r>
      <w:r>
        <w:rPr>
          <w:rStyle w:val="FunctionTok"/>
        </w:rPr>
        <w:t xml:space="preserve">head</w:t>
      </w:r>
      <w:r>
        <w:rPr>
          <w:rStyle w:val="NormalTok"/>
        </w:rPr>
        <w:t xml:space="preserve">(local_moran_queen)</w:t>
      </w:r>
    </w:p>
    <w:p>
      <w:pPr>
        <w:pStyle w:val="SourceCode"/>
      </w:pPr>
      <w:r>
        <w:rPr>
          <w:rStyle w:val="VerbatimChar"/>
        </w:rPr>
        <w:t xml:space="preserve">##                      Ii         E.Ii     Var.Ii       Z.Ii Pr(z != E(Ii))</w:t>
      </w:r>
      <w:r>
        <w:br/>
      </w:r>
      <w:r>
        <w:rPr>
          <w:rStyle w:val="VerbatimChar"/>
        </w:rPr>
        <w:t xml:space="preserve">## Ashe        0.224968418 -0.002784784 0.09067850 0.75633175      0.4494503</w:t>
      </w:r>
      <w:r>
        <w:br/>
      </w:r>
      <w:r>
        <w:rPr>
          <w:rStyle w:val="VerbatimChar"/>
        </w:rPr>
        <w:t xml:space="preserve">## Alleghany   0.006921914 -0.005258719 0.17081028 0.02947222      0.9764880</w:t>
      </w:r>
      <w:r>
        <w:br/>
      </w:r>
      <w:r>
        <w:rPr>
          <w:rStyle w:val="VerbatimChar"/>
        </w:rPr>
        <w:t xml:space="preserve">## Surry       0.073576987 -0.001178770 0.02258649 0.49741664      0.6188953</w:t>
      </w:r>
      <w:r>
        <w:br/>
      </w:r>
      <w:r>
        <w:rPr>
          <w:rStyle w:val="VerbatimChar"/>
        </w:rPr>
        <w:t xml:space="preserve">## Currituck   0.660771648 -0.006634965 0.32618436 1.16858131      0.2425724</w:t>
      </w:r>
      <w:r>
        <w:br/>
      </w:r>
      <w:r>
        <w:rPr>
          <w:rStyle w:val="VerbatimChar"/>
        </w:rPr>
        <w:t xml:space="preserve">## Northampton 0.386756847 -0.004588473 0.11068999 1.17626713      0.2394881</w:t>
      </w:r>
      <w:r>
        <w:br/>
      </w:r>
      <w:r>
        <w:rPr>
          <w:rStyle w:val="VerbatimChar"/>
        </w:rPr>
        <w:t xml:space="preserve">## Hertford    0.448120266 -0.004260557 0.13852749 1.21544748      0.2241955</w:t>
      </w:r>
    </w:p>
    <w:p>
      <w:pPr>
        <w:pStyle w:val="FirstParagraph"/>
      </w:pPr>
      <w:r>
        <w:t xml:space="preserve">What does this tell us? Call</w:t>
      </w:r>
      <w:r>
        <w:t xml:space="preserve"> </w:t>
      </w:r>
      <w:r>
        <w:rPr>
          <w:rStyle w:val="VerbatimChar"/>
        </w:rPr>
        <w:t xml:space="preserve">?localmoran</w:t>
      </w:r>
      <w:r>
        <w:t xml:space="preserve"> </w:t>
      </w:r>
      <w:r>
        <w:t xml:space="preserve">to get an explanation as to each column.</w:t>
      </w:r>
    </w:p>
    <w:p>
      <w:pPr>
        <w:pStyle w:val="BodyText"/>
      </w:pPr>
      <w:r>
        <w:t xml:space="preserve">Just like regression residuals, we can explore these local measures with a scatter plot and a map. Let’s start with a scatterplot of the actual manufacturing counts for each county against the lag counts for each county:</w:t>
      </w:r>
    </w:p>
    <w:p>
      <w:pPr>
        <w:pStyle w:val="SourceCode"/>
      </w:pPr>
      <w:r>
        <w:rPr>
          <w:rStyle w:val="FunctionTok"/>
        </w:rPr>
        <w:t xml:space="preserve">moran.plot</w:t>
      </w:r>
      <w:r>
        <w:rPr>
          <w:rStyle w:val="NormalTok"/>
        </w:rPr>
        <w:t xml:space="preserve">(</w:t>
      </w:r>
      <w:r>
        <w:br/>
      </w:r>
      <w:r>
        <w:rPr>
          <w:rStyle w:val="NormalTok"/>
        </w:rPr>
        <w:t xml:space="preserve">  </w:t>
      </w:r>
      <w:r>
        <w:rPr>
          <w:rStyle w:val="AttributeTok"/>
        </w:rPr>
        <w:t xml:space="preserve">x =</w:t>
      </w:r>
      <w:r>
        <w:rPr>
          <w:rStyle w:val="NormalTok"/>
        </w:rPr>
        <w:t xml:space="preserve"> NC_UTM</w:t>
      </w:r>
      <w:r>
        <w:rPr>
          <w:rStyle w:val="SpecialCharTok"/>
        </w:rPr>
        <w:t xml:space="preserve">$</w:t>
      </w:r>
      <w:r>
        <w:rPr>
          <w:rStyle w:val="NormalTok"/>
        </w:rPr>
        <w:t xml:space="preserve">MNEM2000,</w:t>
      </w:r>
      <w:r>
        <w:br/>
      </w:r>
      <w:r>
        <w:rPr>
          <w:rStyle w:val="NormalTok"/>
        </w:rPr>
        <w:t xml:space="preserve">  </w:t>
      </w:r>
      <w:r>
        <w:rPr>
          <w:rStyle w:val="AttributeTok"/>
        </w:rPr>
        <w:t xml:space="preserve">listw =</w:t>
      </w:r>
      <w:r>
        <w:rPr>
          <w:rStyle w:val="NormalTok"/>
        </w:rPr>
        <w:t xml:space="preserve"> queen_nb_w,</w:t>
      </w:r>
      <w:r>
        <w:br/>
      </w:r>
      <w:r>
        <w:rPr>
          <w:rStyle w:val="NormalTok"/>
        </w:rPr>
        <w:t xml:space="preserve">  </w:t>
      </w:r>
      <w:r>
        <w:rPr>
          <w:rStyle w:val="AttributeTok"/>
        </w:rPr>
        <w:t xml:space="preserve">labels =</w:t>
      </w:r>
      <w:r>
        <w:rPr>
          <w:rStyle w:val="NormalTok"/>
        </w:rPr>
        <w:t xml:space="preserve"> NC_UTM</w:t>
      </w:r>
      <w:r>
        <w:rPr>
          <w:rStyle w:val="SpecialCharTok"/>
        </w:rPr>
        <w:t xml:space="preserve">$</w:t>
      </w:r>
      <w:r>
        <w:rPr>
          <w:rStyle w:val="NormalTok"/>
        </w:rPr>
        <w:t xml:space="preserve">NAME,</w:t>
      </w:r>
      <w:r>
        <w:br/>
      </w:r>
      <w:r>
        <w:rPr>
          <w:rStyle w:val="NormalTok"/>
        </w:rPr>
        <w:t xml:space="preserve">  </w:t>
      </w:r>
      <w:r>
        <w:rPr>
          <w:rStyle w:val="AttributeTok"/>
        </w:rPr>
        <w:t xml:space="preserve">xlab =</w:t>
      </w:r>
      <w:r>
        <w:rPr>
          <w:rStyle w:val="NormalTok"/>
        </w:rPr>
        <w:t xml:space="preserve"> </w:t>
      </w:r>
      <w:r>
        <w:rPr>
          <w:rStyle w:val="StringTok"/>
        </w:rPr>
        <w:t xml:space="preserve">"Manufacturing Counts"</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"Lag Manufacturing Counts"</w:t>
      </w:r>
      <w:r>
        <w:br/>
      </w:r>
      <w:r>
        <w:rPr>
          <w:rStyle w:val="NormalTok"/>
        </w:rPr>
        <w:t xml:space="preserve">)</w:t>
      </w:r>
    </w:p>
    <w:p>
      <w:pPr>
        <w:pStyle w:val="FirstParagraph"/>
      </w:pPr>
      <w:r>
        <w:drawing>
          <wp:inline>
            <wp:extent cx="4620126" cy="3696101"/>
            <wp:effectExtent b="0" l="0" r="0" t="0"/>
            <wp:docPr descr="" title="" id="49" name="Picture"/>
            <a:graphic>
              <a:graphicData uri="http://schemas.openxmlformats.org/drawingml/2006/picture">
                <pic:pic>
                  <pic:nvPicPr>
                    <pic:cNvPr descr="C:/brownhr/r-modules/rendered_docs/RModule9_files/figure-docx/loc-moran-scatter-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plot shows us quite a bit of information. First, we should note that the mean values of both our manufacturing counts and the lag manufacturing counts (average counts from each county’s neighbors) are shown by the dashed lines. This allows us to break up the plot into four quadrants:</w:t>
      </w:r>
    </w:p>
    <w:p>
      <w:pPr>
        <w:numPr>
          <w:ilvl w:val="0"/>
          <w:numId w:val="1005"/>
        </w:numPr>
        <w:pStyle w:val="Compact"/>
      </w:pPr>
      <w:r>
        <w:t xml:space="preserve">The upper left quadrant shows us counties with counts below the mean, surrounded by counties above the mean.</w:t>
      </w:r>
    </w:p>
    <w:p>
      <w:pPr>
        <w:numPr>
          <w:ilvl w:val="0"/>
          <w:numId w:val="1005"/>
        </w:numPr>
        <w:pStyle w:val="Compact"/>
      </w:pPr>
      <w:r>
        <w:t xml:space="preserve">The upper right shows high-count counties surrounded by high-count counties.</w:t>
      </w:r>
    </w:p>
    <w:p>
      <w:pPr>
        <w:numPr>
          <w:ilvl w:val="0"/>
          <w:numId w:val="1005"/>
        </w:numPr>
        <w:pStyle w:val="Compact"/>
      </w:pPr>
      <w:r>
        <w:t xml:space="preserve">The lower left is the</w:t>
      </w:r>
      <w:r>
        <w:t xml:space="preserve"> </w:t>
      </w:r>
      <w:r>
        <w:t xml:space="preserve">“</w:t>
      </w:r>
      <w:r>
        <w:t xml:space="preserve">low-low</w:t>
      </w:r>
      <w:r>
        <w:t xml:space="preserve">”</w:t>
      </w:r>
      <w:r>
        <w:t xml:space="preserve"> </w:t>
      </w:r>
      <w:r>
        <w:t xml:space="preserve">counties.</w:t>
      </w:r>
    </w:p>
    <w:p>
      <w:pPr>
        <w:numPr>
          <w:ilvl w:val="0"/>
          <w:numId w:val="1005"/>
        </w:numPr>
        <w:pStyle w:val="Compact"/>
      </w:pPr>
      <w:r>
        <w:t xml:space="preserve">The lower right is the</w:t>
      </w:r>
      <w:r>
        <w:t xml:space="preserve"> </w:t>
      </w:r>
      <w:r>
        <w:t xml:space="preserve">“</w:t>
      </w:r>
      <w:r>
        <w:t xml:space="preserve">high-low</w:t>
      </w:r>
      <w:r>
        <w:t xml:space="preserve">”</w:t>
      </w:r>
      <w:r>
        <w:t xml:space="preserve"> </w:t>
      </w:r>
      <w:r>
        <w:t xml:space="preserve">counties.</w:t>
      </w:r>
    </w:p>
    <w:p>
      <w:pPr>
        <w:pStyle w:val="FirstParagraph"/>
      </w:pPr>
      <w:r>
        <w:t xml:space="preserve">It’s important to note that the way each county is assigned is dependent on our significance level; right now it’s still</w:t>
      </w:r>
      <w:r>
        <w:t xml:space="preserve"> </w:t>
      </w:r>
      <m:oMath>
        <m:r>
          <m:t>α</m:t>
        </m:r>
        <m:r>
          <m:rPr>
            <m:sty m:val="p"/>
          </m:rPr>
          <m:t>=</m:t>
        </m:r>
        <m:r>
          <m:t>0.05</m:t>
        </m:r>
      </m:oMath>
      <w:r>
        <w:t xml:space="preserve">. Counties on the above scatter plot with the</w:t>
      </w:r>
      <w:r>
        <w:t xml:space="preserve"> </w:t>
      </w:r>
      <w:r>
        <w:t xml:space="preserve">‘</w:t>
      </w:r>
      <w:r>
        <w:t xml:space="preserve">diamond</w:t>
      </w:r>
      <w:r>
        <w:t xml:space="preserve">’</w:t>
      </w:r>
      <w:r>
        <w:t xml:space="preserve"> </w:t>
      </w:r>
      <w:r>
        <w:t xml:space="preserve">symbol are those where the</w:t>
      </w:r>
      <w:r>
        <w:t xml:space="preserve"> </w:t>
      </w:r>
      <m:oMath>
        <m:r>
          <m:t>p</m:t>
        </m:r>
      </m:oMath>
      <w:r>
        <w:t xml:space="preserve">-value is less than our significance level. If we change our significance level to say, 50%, we can see more of the distribution (but of course, our results are not nearly as significant)</w:t>
      </w:r>
    </w:p>
    <w:p>
      <w:pPr>
        <w:pStyle w:val="SourceCode"/>
      </w:pPr>
      <w:r>
        <w:rPr>
          <w:rStyle w:val="CommentTok"/>
        </w:rPr>
        <w:t xml:space="preserve"># This pulls out the quadrants from the results and assigns it to a vector</w:t>
      </w:r>
      <w:r>
        <w:br/>
      </w:r>
      <w:r>
        <w:rPr>
          <w:rStyle w:val="NormalTok"/>
        </w:rPr>
        <w:t xml:space="preserve">quadr </w:t>
      </w:r>
      <w:r>
        <w:rPr>
          <w:rStyle w:val="OtherTok"/>
        </w:rPr>
        <w:t xml:space="preserve">&lt;-</w:t>
      </w:r>
      <w:r>
        <w:rPr>
          <w:rStyle w:val="NormalTok"/>
        </w:rPr>
        <w:t xml:space="preserve"> </w:t>
      </w:r>
      <w:r>
        <w:rPr>
          <w:rStyle w:val="FunctionTok"/>
        </w:rPr>
        <w:t xml:space="preserve">attr</w:t>
      </w:r>
      <w:r>
        <w:rPr>
          <w:rStyle w:val="NormalTok"/>
        </w:rPr>
        <w:t xml:space="preserve">(local_moran_queen, </w:t>
      </w:r>
      <w:r>
        <w:rPr>
          <w:rStyle w:val="StringTok"/>
        </w:rPr>
        <w:t xml:space="preserve">"quadr"</w:t>
      </w:r>
      <w:r>
        <w:rPr>
          <w:rStyle w:val="NormalTok"/>
        </w:rPr>
        <w:t xml:space="preserve">)[, </w:t>
      </w:r>
      <w:r>
        <w:rPr>
          <w:rStyle w:val="DecValTok"/>
        </w:rPr>
        <w:t xml:space="preserve">2</w:t>
      </w:r>
      <w:r>
        <w:rPr>
          <w:rStyle w:val="NormalTok"/>
        </w:rPr>
        <w:t xml:space="preserve">]</w:t>
      </w:r>
      <w:r>
        <w:br/>
      </w:r>
      <w:r>
        <w:br/>
      </w:r>
      <w:r>
        <w:rPr>
          <w:rStyle w:val="NormalTok"/>
        </w:rPr>
        <w:t xml:space="preserve">NC_localmoran </w:t>
      </w:r>
      <w:r>
        <w:rPr>
          <w:rStyle w:val="OtherTok"/>
        </w:rPr>
        <w:t xml:space="preserve">&lt;-</w:t>
      </w:r>
      <w:r>
        <w:rPr>
          <w:rStyle w:val="NormalTok"/>
        </w:rPr>
        <w:t xml:space="preserve"> NC_UTM</w:t>
      </w:r>
      <w:r>
        <w:br/>
      </w:r>
      <w:r>
        <w:br/>
      </w:r>
      <w:r>
        <w:rPr>
          <w:rStyle w:val="NormalTok"/>
        </w:rPr>
        <w:t xml:space="preserve">NC_localmoran</w:t>
      </w:r>
      <w:r>
        <w:rPr>
          <w:rStyle w:val="SpecialCharTok"/>
        </w:rPr>
        <w:t xml:space="preserve">$</w:t>
      </w:r>
      <w:r>
        <w:rPr>
          <w:rStyle w:val="NormalTok"/>
        </w:rPr>
        <w:t xml:space="preserve">Quadrant </w:t>
      </w:r>
      <w:r>
        <w:rPr>
          <w:rStyle w:val="OtherTok"/>
        </w:rPr>
        <w:t xml:space="preserve">&lt;-</w:t>
      </w:r>
      <w:r>
        <w:rPr>
          <w:rStyle w:val="NormalTok"/>
        </w:rPr>
        <w:t xml:space="preserve"> quadr</w:t>
      </w:r>
      <w:r>
        <w:br/>
      </w:r>
      <w:r>
        <w:br/>
      </w:r>
      <w:r>
        <w:br/>
      </w:r>
      <w:r>
        <w:rPr>
          <w:rStyle w:val="CommentTok"/>
        </w:rPr>
        <w:t xml:space="preserve"># The 5th column represents the p-value</w:t>
      </w:r>
      <w:r>
        <w:br/>
      </w:r>
      <w:r>
        <w:rPr>
          <w:rStyle w:val="NormalTok"/>
        </w:rPr>
        <w:t xml:space="preserve">NC_localmoran</w:t>
      </w:r>
      <w:r>
        <w:rPr>
          <w:rStyle w:val="SpecialCharTok"/>
        </w:rPr>
        <w:t xml:space="preserve">$</w:t>
      </w:r>
      <w:r>
        <w:rPr>
          <w:rStyle w:val="NormalTok"/>
        </w:rPr>
        <w:t xml:space="preserve">p.value </w:t>
      </w:r>
      <w:r>
        <w:rPr>
          <w:rStyle w:val="OtherTok"/>
        </w:rPr>
        <w:t xml:space="preserve">&lt;-</w:t>
      </w:r>
      <w:r>
        <w:rPr>
          <w:rStyle w:val="NormalTok"/>
        </w:rPr>
        <w:t xml:space="preserve"> local_moran_queen[, </w:t>
      </w:r>
      <w:r>
        <w:rPr>
          <w:rStyle w:val="DecValTok"/>
        </w:rPr>
        <w:t xml:space="preserve">5</w:t>
      </w:r>
      <w:r>
        <w:rPr>
          <w:rStyle w:val="NormalTok"/>
        </w:rPr>
        <w:t xml:space="preserve">]</w:t>
      </w:r>
      <w:r>
        <w:br/>
      </w:r>
      <w:r>
        <w:br/>
      </w:r>
      <w:r>
        <w:rPr>
          <w:rStyle w:val="NormalTok"/>
        </w:rPr>
        <w:t xml:space="preserve">sig_level </w:t>
      </w:r>
      <w:r>
        <w:rPr>
          <w:rStyle w:val="OtherTok"/>
        </w:rPr>
        <w:t xml:space="preserve">&lt;-</w:t>
      </w:r>
      <w:r>
        <w:rPr>
          <w:rStyle w:val="NormalTok"/>
        </w:rPr>
        <w:t xml:space="preserve"> </w:t>
      </w:r>
      <w:r>
        <w:rPr>
          <w:rStyle w:val="FloatTok"/>
        </w:rPr>
        <w:t xml:space="preserve">0.5</w:t>
      </w:r>
      <w:r>
        <w:br/>
      </w:r>
      <w:r>
        <w:br/>
      </w:r>
      <w:r>
        <w:rPr>
          <w:rStyle w:val="NormalTok"/>
        </w:rPr>
        <w:t xml:space="preserve">NC_localmoran </w:t>
      </w:r>
      <w:r>
        <w:rPr>
          <w:rStyle w:val="OtherTok"/>
        </w:rPr>
        <w:t xml:space="preserve">&lt;-</w:t>
      </w:r>
      <w:r>
        <w:rPr>
          <w:rStyle w:val="NormalTok"/>
        </w:rPr>
        <w:t xml:space="preserve"> NC_localmoran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Quadrant_Sig =</w:t>
      </w:r>
      <w:r>
        <w:rPr>
          <w:rStyle w:val="NormalTok"/>
        </w:rPr>
        <w:t xml:space="preserve"> </w:t>
      </w:r>
      <w:r>
        <w:rPr>
          <w:rStyle w:val="FunctionTok"/>
        </w:rPr>
        <w:t xml:space="preserve">if_else</w:t>
      </w:r>
      <w:r>
        <w:rPr>
          <w:rStyle w:val="NormalTok"/>
        </w:rPr>
        <w:t xml:space="preserve">(</w:t>
      </w:r>
      <w:r>
        <w:br/>
      </w:r>
      <w:r>
        <w:rPr>
          <w:rStyle w:val="NormalTok"/>
        </w:rPr>
        <w:t xml:space="preserve">      p.value </w:t>
      </w:r>
      <w:r>
        <w:rPr>
          <w:rStyle w:val="SpecialCharTok"/>
        </w:rPr>
        <w:t xml:space="preserve">&lt;=</w:t>
      </w:r>
      <w:r>
        <w:rPr>
          <w:rStyle w:val="NormalTok"/>
        </w:rPr>
        <w:t xml:space="preserve"> sig_level,</w:t>
      </w:r>
      <w:r>
        <w:br/>
      </w:r>
      <w:r>
        <w:rPr>
          <w:rStyle w:val="NormalTok"/>
        </w:rPr>
        <w:t xml:space="preserve">      </w:t>
      </w:r>
      <w:r>
        <w:rPr>
          <w:rStyle w:val="AttributeTok"/>
        </w:rPr>
        <w:t xml:space="preserve">true =</w:t>
      </w:r>
      <w:r>
        <w:rPr>
          <w:rStyle w:val="NormalTok"/>
        </w:rPr>
        <w:t xml:space="preserve"> </w:t>
      </w:r>
      <w:r>
        <w:rPr>
          <w:rStyle w:val="FunctionTok"/>
        </w:rPr>
        <w:t xml:space="preserve">as.character</w:t>
      </w:r>
      <w:r>
        <w:rPr>
          <w:rStyle w:val="NormalTok"/>
        </w:rPr>
        <w:t xml:space="preserve">(Quadrant),</w:t>
      </w:r>
      <w:r>
        <w:br/>
      </w:r>
      <w:r>
        <w:rPr>
          <w:rStyle w:val="NormalTok"/>
        </w:rPr>
        <w:t xml:space="preserve">      </w:t>
      </w:r>
      <w:r>
        <w:rPr>
          <w:rStyle w:val="AttributeTok"/>
        </w:rPr>
        <w:t xml:space="preserve">false =</w:t>
      </w:r>
      <w:r>
        <w:rPr>
          <w:rStyle w:val="NormalTok"/>
        </w:rPr>
        <w:t xml:space="preserve"> </w:t>
      </w:r>
      <w:r>
        <w:rPr>
          <w:rStyle w:val="StringTok"/>
        </w:rPr>
        <w:t xml:space="preserve">"Insignificant"</w:t>
      </w:r>
      <w:r>
        <w:br/>
      </w:r>
      <w:r>
        <w:rPr>
          <w:rStyle w:val="NormalTok"/>
        </w:rPr>
        <w:t xml:space="preserve">    ) </w:t>
      </w:r>
      <w:r>
        <w:rPr>
          <w:rStyle w:val="SpecialCharTok"/>
        </w:rPr>
        <w:t xml:space="preserve">%&gt;%</w:t>
      </w:r>
      <w:r>
        <w:br/>
      </w:r>
      <w:r>
        <w:rPr>
          <w:rStyle w:val="NormalTok"/>
        </w:rPr>
        <w:t xml:space="preserve">      </w:t>
      </w:r>
      <w:r>
        <w:rPr>
          <w:rStyle w:val="FunctionTok"/>
        </w:rPr>
        <w:t xml:space="preserve">as.factor</w:t>
      </w:r>
      <w:r>
        <w:rPr>
          <w:rStyle w:val="NormalTok"/>
        </w:rPr>
        <w:t xml:space="preserve">()</w:t>
      </w:r>
      <w:r>
        <w:br/>
      </w:r>
      <w:r>
        <w:rPr>
          <w:rStyle w:val="NormalTok"/>
        </w:rPr>
        <w:t xml:space="preserve">  )</w:t>
      </w:r>
    </w:p>
    <w:p>
      <w:pPr>
        <w:pStyle w:val="FirstParagraph"/>
      </w:pPr>
      <w:r>
        <w:t xml:space="preserve">Let’s plot this with a color palette to highlight where there are significant levels of local spatial autocorrelation:</w:t>
      </w:r>
    </w:p>
    <w:p>
      <w:pPr>
        <w:pStyle w:val="SourceCode"/>
      </w:pPr>
      <w:r>
        <w:rPr>
          <w:rStyle w:val="NormalTok"/>
        </w:rPr>
        <w:t xml:space="preserve">lm_pal </w:t>
      </w:r>
      <w:r>
        <w:rPr>
          <w:rStyle w:val="OtherTok"/>
        </w:rPr>
        <w:t xml:space="preserve">&lt;-</w:t>
      </w:r>
      <w:r>
        <w:br/>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"High-High"</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StringTok"/>
        </w:rPr>
        <w:t xml:space="preserve">"High-Low"</w:t>
      </w:r>
      <w:r>
        <w:rPr>
          <w:rStyle w:val="NormalTok"/>
        </w:rPr>
        <w:t xml:space="preserve"> </w:t>
      </w:r>
      <w:r>
        <w:rPr>
          <w:rStyle w:val="OtherTok"/>
        </w:rPr>
        <w:t xml:space="preserve">=</w:t>
      </w:r>
      <w:r>
        <w:rPr>
          <w:rStyle w:val="NormalTok"/>
        </w:rPr>
        <w:t xml:space="preserve"> </w:t>
      </w:r>
      <w:r>
        <w:rPr>
          <w:rStyle w:val="StringTok"/>
        </w:rPr>
        <w:t xml:space="preserve">"#FF000080"</w:t>
      </w:r>
      <w:r>
        <w:rPr>
          <w:rStyle w:val="NormalTok"/>
        </w:rPr>
        <w:t xml:space="preserve">,</w:t>
      </w:r>
      <w:r>
        <w:br/>
      </w:r>
      <w:r>
        <w:rPr>
          <w:rStyle w:val="NormalTok"/>
        </w:rPr>
        <w:t xml:space="preserve">    </w:t>
      </w:r>
      <w:r>
        <w:rPr>
          <w:rStyle w:val="StringTok"/>
        </w:rPr>
        <w:t xml:space="preserve">"Insignificant"</w:t>
      </w:r>
      <w:r>
        <w:rPr>
          <w:rStyle w:val="NormalTok"/>
        </w:rPr>
        <w:t xml:space="preserve"> </w:t>
      </w:r>
      <w:r>
        <w:rPr>
          <w:rStyle w:val="OtherTok"/>
        </w:rPr>
        <w:t xml:space="preserve">=</w:t>
      </w:r>
      <w:r>
        <w:rPr>
          <w:rStyle w:val="NormalTok"/>
        </w:rPr>
        <w:t xml:space="preserve"> </w:t>
      </w:r>
      <w:r>
        <w:rPr>
          <w:rStyle w:val="StringTok"/>
        </w:rPr>
        <w:t xml:space="preserve">"gray90"</w:t>
      </w:r>
      <w:r>
        <w:rPr>
          <w:rStyle w:val="NormalTok"/>
        </w:rPr>
        <w:t xml:space="preserve">,</w:t>
      </w:r>
      <w:r>
        <w:br/>
      </w:r>
      <w:r>
        <w:rPr>
          <w:rStyle w:val="NormalTok"/>
        </w:rPr>
        <w:t xml:space="preserve">    </w:t>
      </w:r>
      <w:r>
        <w:rPr>
          <w:rStyle w:val="StringTok"/>
        </w:rPr>
        <w:t xml:space="preserve">"Low-High"</w:t>
      </w:r>
      <w:r>
        <w:rPr>
          <w:rStyle w:val="NormalTok"/>
        </w:rPr>
        <w:t xml:space="preserve"> </w:t>
      </w:r>
      <w:r>
        <w:rPr>
          <w:rStyle w:val="OtherTok"/>
        </w:rPr>
        <w:t xml:space="preserve">=</w:t>
      </w:r>
      <w:r>
        <w:rPr>
          <w:rStyle w:val="NormalTok"/>
        </w:rPr>
        <w:t xml:space="preserve"> </w:t>
      </w:r>
      <w:r>
        <w:rPr>
          <w:rStyle w:val="StringTok"/>
        </w:rPr>
        <w:t xml:space="preserve">"#0000FF80"</w:t>
      </w:r>
      <w:r>
        <w:rPr>
          <w:rStyle w:val="NormalTok"/>
        </w:rPr>
        <w:t xml:space="preserve">,</w:t>
      </w:r>
      <w:r>
        <w:br/>
      </w:r>
      <w:r>
        <w:rPr>
          <w:rStyle w:val="NormalTok"/>
        </w:rPr>
        <w:t xml:space="preserve">    </w:t>
      </w:r>
      <w:r>
        <w:rPr>
          <w:rStyle w:val="StringTok"/>
        </w:rPr>
        <w:t xml:space="preserve">"Low-Low"</w:t>
      </w:r>
      <w:r>
        <w:rPr>
          <w:rStyle w:val="NormalTok"/>
        </w:rPr>
        <w:t xml:space="preserve"> </w:t>
      </w:r>
      <w:r>
        <w:rPr>
          <w:rStyle w:val="OtherTok"/>
        </w:rPr>
        <w:t xml:space="preserve">=</w:t>
      </w:r>
      <w:r>
        <w:rPr>
          <w:rStyle w:val="NormalTok"/>
        </w:rPr>
        <w:t xml:space="preserve"> </w:t>
      </w:r>
      <w:r>
        <w:rPr>
          <w:rStyle w:val="StringTok"/>
        </w:rPr>
        <w:t xml:space="preserve">"blue"</w:t>
      </w:r>
      <w:r>
        <w:br/>
      </w:r>
      <w:r>
        <w:rPr>
          <w:rStyle w:val="NormalTok"/>
        </w:rPr>
        <w:t xml:space="preserve">  )</w:t>
      </w:r>
      <w:r>
        <w:br/>
      </w:r>
      <w:r>
        <w:br/>
      </w:r>
      <w:r>
        <w:br/>
      </w:r>
      <w:r>
        <w:rPr>
          <w:rStyle w:val="FunctionTok"/>
        </w:rPr>
        <w:t xml:space="preserve">tm_shape</w:t>
      </w:r>
      <w:r>
        <w:rPr>
          <w:rStyle w:val="NormalTok"/>
        </w:rPr>
        <w:t xml:space="preserve">(NC_localmoran) </w:t>
      </w:r>
      <w:r>
        <w:rPr>
          <w:rStyle w:val="SpecialCharTok"/>
        </w:rPr>
        <w:t xml:space="preserve">+</w:t>
      </w:r>
      <w:r>
        <w:br/>
      </w:r>
      <w:r>
        <w:rPr>
          <w:rStyle w:val="NormalTok"/>
        </w:rPr>
        <w:t xml:space="preserve">  </w:t>
      </w:r>
      <w:r>
        <w:rPr>
          <w:rStyle w:val="FunctionTok"/>
        </w:rPr>
        <w:t xml:space="preserve">tm_polygons</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"Quadrant_Sig"</w:t>
      </w:r>
      <w:r>
        <w:rPr>
          <w:rStyle w:val="NormalTok"/>
        </w:rPr>
        <w:t xml:space="preserve">,</w:t>
      </w:r>
      <w:r>
        <w:br/>
      </w:r>
      <w:r>
        <w:rPr>
          <w:rStyle w:val="NormalTok"/>
        </w:rPr>
        <w:t xml:space="preserve">    </w:t>
      </w:r>
      <w:r>
        <w:rPr>
          <w:rStyle w:val="AttributeTok"/>
        </w:rPr>
        <w:t xml:space="preserve">palette =</w:t>
      </w:r>
      <w:r>
        <w:rPr>
          <w:rStyle w:val="NormalTok"/>
        </w:rPr>
        <w:t xml:space="preserve"> lm_pal,</w:t>
      </w:r>
      <w:r>
        <w:br/>
      </w:r>
      <w:r>
        <w:rPr>
          <w:rStyle w:val="NormalTok"/>
        </w:rPr>
        <w:t xml:space="preserve">    </w:t>
      </w:r>
      <w:r>
        <w:rPr>
          <w:rStyle w:val="AttributeTok"/>
        </w:rPr>
        <w:t xml:space="preserve">border.col =</w:t>
      </w:r>
      <w:r>
        <w:rPr>
          <w:rStyle w:val="NormalTok"/>
        </w:rPr>
        <w:t xml:space="preserve"> </w:t>
      </w:r>
      <w:r>
        <w:rPr>
          <w:rStyle w:val="StringTok"/>
        </w:rPr>
        <w:t xml:space="preserve">"black"</w:t>
      </w:r>
      <w:r>
        <w:br/>
      </w:r>
      <w:r>
        <w:rPr>
          <w:rStyle w:val="NormalTok"/>
        </w:rPr>
        <w:t xml:space="preserve">  ) </w:t>
      </w:r>
      <w:r>
        <w:rPr>
          <w:rStyle w:val="SpecialCharTok"/>
        </w:rPr>
        <w:t xml:space="preserve">+</w:t>
      </w:r>
      <w:r>
        <w:br/>
      </w:r>
      <w:r>
        <w:rPr>
          <w:rStyle w:val="NormalTok"/>
        </w:rPr>
        <w:t xml:space="preserve">  </w:t>
      </w:r>
      <w:r>
        <w:rPr>
          <w:rStyle w:val="FunctionTok"/>
        </w:rPr>
        <w:t xml:space="preserve">tm_layout</w:t>
      </w:r>
      <w:r>
        <w:rPr>
          <w:rStyle w:val="NormalTok"/>
        </w:rPr>
        <w:t xml:space="preserve">(</w:t>
      </w:r>
      <w:r>
        <w:br/>
      </w:r>
      <w:r>
        <w:rPr>
          <w:rStyle w:val="NormalTok"/>
        </w:rPr>
        <w:t xml:space="preserve">    </w:t>
      </w:r>
      <w:r>
        <w:rPr>
          <w:rStyle w:val="AttributeTok"/>
        </w:rPr>
        <w:t xml:space="preserve">main.title =</w:t>
      </w:r>
      <w:r>
        <w:rPr>
          <w:rStyle w:val="NormalTok"/>
        </w:rPr>
        <w:t xml:space="preserve"> </w:t>
      </w:r>
      <w:r>
        <w:rPr>
          <w:rStyle w:val="FunctionTok"/>
        </w:rPr>
        <w:t xml:space="preserve">paste0</w:t>
      </w:r>
      <w:r>
        <w:rPr>
          <w:rStyle w:val="NormalTok"/>
        </w:rPr>
        <w:t xml:space="preserve">(</w:t>
      </w:r>
      <w:r>
        <w:rPr>
          <w:rStyle w:val="StringTok"/>
        </w:rPr>
        <w:t xml:space="preserve">"LISA Cluster at Alpha = "</w:t>
      </w:r>
      <w:r>
        <w:rPr>
          <w:rStyle w:val="NormalTok"/>
        </w:rPr>
        <w:t xml:space="preserve">, sig_level)</w:t>
      </w:r>
      <w:r>
        <w:br/>
      </w:r>
      <w:r>
        <w:rPr>
          <w:rStyle w:val="NormalTok"/>
        </w:rPr>
        <w:t xml:space="preserve">    </w:t>
      </w:r>
      <w:r>
        <w:br/>
      </w:r>
      <w:r>
        <w:rPr>
          <w:rStyle w:val="NormalTok"/>
        </w:rPr>
        <w:t xml:space="preserve">  )</w:t>
      </w:r>
    </w:p>
    <w:p>
      <w:pPr>
        <w:pStyle w:val="FirstParagraph"/>
      </w:pPr>
      <w:r>
        <w:drawing>
          <wp:inline>
            <wp:extent cx="4620126" cy="3696101"/>
            <wp:effectExtent b="0" l="0" r="0" t="0"/>
            <wp:docPr descr="" title="" id="52" name="Picture"/>
            <a:graphic>
              <a:graphicData uri="http://schemas.openxmlformats.org/drawingml/2006/picture">
                <pic:pic>
                  <pic:nvPicPr>
                    <pic:cNvPr descr="C:/brownhr/r-modules/rendered_docs/RModule9_files/figure-docx/local-moran-map-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map shows the four different types of clusters. Many counties fall into either the</w:t>
      </w:r>
      <w:r>
        <w:t xml:space="preserve"> </w:t>
      </w:r>
      <w:r>
        <w:rPr>
          <w:rStyle w:val="VerbatimChar"/>
        </w:rPr>
        <w:t xml:space="preserve">High-High</w:t>
      </w:r>
      <w:r>
        <w:t xml:space="preserve"> </w:t>
      </w:r>
      <w:r>
        <w:t xml:space="preserve">or</w:t>
      </w:r>
      <w:r>
        <w:t xml:space="preserve"> </w:t>
      </w:r>
      <w:r>
        <w:rPr>
          <w:rStyle w:val="VerbatimChar"/>
        </w:rPr>
        <w:t xml:space="preserve">Low-Low</w:t>
      </w:r>
      <w:r>
        <w:t xml:space="preserve"> </w:t>
      </w:r>
      <w:r>
        <w:t xml:space="preserve">categories. However, these results are based on a very high value of alpha; what happens if we restrict alpha to a more conventional level?</w:t>
      </w:r>
    </w:p>
    <w:bookmarkEnd w:id="54"/>
    <w:bookmarkStart w:id="55" w:name="questions-3"/>
    <w:p>
      <w:pPr>
        <w:pStyle w:val="Heading2"/>
      </w:pPr>
      <w:r>
        <w:t xml:space="preserve">Questions</w:t>
      </w:r>
    </w:p>
    <w:p>
      <w:pPr>
        <w:pStyle w:val="FirstParagraph"/>
      </w:pPr>
      <w:r>
        <w:rPr>
          <w:bCs/>
          <w:b/>
        </w:rPr>
        <w:t xml:space="preserve">4. Adopt the code above to provide LISA maps for the</w:t>
      </w:r>
      <w:r>
        <w:rPr>
          <w:bCs/>
          <w:b/>
        </w:rPr>
        <w:t xml:space="preserve"> </w:t>
      </w:r>
      <w:r>
        <w:rPr>
          <w:rStyle w:val="VerbatimChar"/>
          <w:bCs/>
          <w:b/>
        </w:rPr>
        <w:t xml:space="preserve">MNEM1990</w:t>
      </w:r>
      <w:r>
        <w:rPr>
          <w:bCs/>
          <w:b/>
        </w:rPr>
        <w:t xml:space="preserve"> </w:t>
      </w:r>
      <w:r>
        <w:rPr>
          <w:bCs/>
          <w:b/>
        </w:rPr>
        <w:t xml:space="preserve">variable at an alpha of 0.1, 0.05, and 0.01 using the Queen’s case W. Provide a brief explanation of your findings about any local spatial autocorrelation at these more restrictive values of alpha.</w:t>
      </w:r>
    </w:p>
    <w:p>
      <w:r>
        <w:pict>
          <v:rect style="width:0;height:1.5pt" o:hralign="center" o:hrstd="t" o:hr="t"/>
        </w:pict>
      </w:r>
    </w:p>
    <w:p>
      <w:pPr>
        <w:pStyle w:val="FirstParagraph"/>
      </w:pPr>
      <w:r>
        <w:t xml:space="preserve">Congratulations on completing this R Module; there was certainly a LOT to cover here!</w:t>
      </w:r>
    </w:p>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23" Target="media/rId23.png" /><Relationship Type="http://schemas.openxmlformats.org/officeDocument/2006/relationships/image" Id="rId31" Target="media/rId31.png" /><Relationship Type="http://schemas.openxmlformats.org/officeDocument/2006/relationships/image" Id="rId40" Target="media/rId40.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Spatial Autocorrelation II</dc:title>
  <dc:creator/>
  <cp:keywords/>
  <dcterms:created xsi:type="dcterms:W3CDTF">2022-05-31T18:55:47Z</dcterms:created>
  <dcterms:modified xsi:type="dcterms:W3CDTF">2022-05-31T18:55:47Z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