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120"/>
        <w:jc w:val="center"/>
      </w:pPr>
      <w:r>
        <w:rPr>
          <w:rFonts w:ascii="Arial" w:cs="Arial" w:eastAsia="Arial" w:hAnsi="Arial"/>
          <w:b/>
          <w:bCs/>
          <w:color w:val="1F4E79"/>
          <w:sz w:val="48"/>
          <w:szCs w:val="48"/>
        </w:rPr>
        <w:t xml:space="preserve">AI Visibility Tool</w:t>
      </w:r>
    </w:p>
    <w:p>
      <w:pPr>
        <w:spacing w:after="200"/>
        <w:jc w:val="center"/>
      </w:pPr>
      <w:r>
        <w:rPr>
          <w:rFonts w:ascii="Arial" w:cs="Arial" w:eastAsia="Arial" w:hAnsi="Arial"/>
          <w:color w:val="2E75B6"/>
          <w:sz w:val="32"/>
          <w:szCs w:val="32"/>
        </w:rPr>
        <w:t xml:space="preserve">Project Context and Status</w:t>
      </w:r>
    </w:p>
    <w:p>
      <w:pPr>
        <w:pBdr>
          <w:bottom w:val="single" w:color="2E75B6" w:sz="2" w:space="12"/>
        </w:pBdr>
        <w:spacing w:after="100"/>
        <w:jc w:val="center"/>
      </w:pPr>
    </w:p>
    <w:p>
      <w:pPr>
        <w:spacing w:before="300" w:after="60"/>
        <w:jc w:val="center"/>
      </w:pPr>
      <w:r>
        <w:rPr>
          <w:rFonts w:ascii="Arial" w:cs="Arial" w:eastAsia="Arial" w:hAnsi="Arial"/>
          <w:color w:val="666666"/>
          <w:sz w:val="22"/>
          <w:szCs w:val="22"/>
        </w:rPr>
        <w:t xml:space="preserve">Faculty Assistance in Data Science (FADS)</w:t>
      </w:r>
    </w:p>
    <w:p>
      <w:pPr>
        <w:spacing w:after="60"/>
        <w:jc w:val="center"/>
      </w:pPr>
      <w:r>
        <w:rPr>
          <w:rFonts w:ascii="Arial" w:cs="Arial" w:eastAsia="Arial" w:hAnsi="Arial"/>
          <w:color w:val="666666"/>
          <w:sz w:val="22"/>
          <w:szCs w:val="22"/>
        </w:rPr>
        <w:t xml:space="preserve">Advisor: Prof. Nick Brown</w:t>
      </w:r>
    </w:p>
    <w:p>
      <w:pPr>
        <w:spacing w:after="600"/>
        <w:jc w:val="center"/>
      </w:pPr>
      <w:r>
        <w:rPr>
          <w:rFonts w:ascii="Arial" w:cs="Arial" w:eastAsia="Arial" w:hAnsi="Arial"/>
          <w:color w:val="666666"/>
          <w:sz w:val="22"/>
          <w:szCs w:val="22"/>
        </w:rPr>
        <w:t xml:space="preserve">Prepared by: Manas Dani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E" w:val="clear"/>
            <w:tcMar>
              <w:top w:type="dxa" w:w="120"/>
              <w:left w:type="dxa" w:w="200"/>
              <w:bottom w:type="dxa" w:w="120"/>
              <w:right w:type="dxa" w:w="200"/>
            </w:tcMar>
          </w:tcPr>
          <w:p>
            <w:pPr>
              <w:spacing w:after="0"/>
            </w:pPr>
            <w:r>
              <w:rPr>
                <w:rFonts w:ascii="Arial" w:cs="Arial" w:eastAsia="Arial" w:hAnsi="Arial"/>
                <w:i/>
                <w:iCs/>
                <w:color w:val="1F4E79"/>
                <w:sz w:val="21"/>
                <w:szCs w:val="21"/>
              </w:rPr>
              <w:t xml:space="preserve">This document is a living project memory. It can be shared at the start of any future discussion to re-establish full context quickly.</w:t>
            </w:r>
          </w:p>
        </w:tc>
      </w:tr>
    </w:tbl>
    <w:p>
      <w:r>
        <w:br w:type="page"/>
      </w:r>
    </w:p>
    <w:p>
      <w:pPr>
        <w:pStyle w:val="Heading1"/>
        <w:spacing w:before="360" w:after="200"/>
      </w:pPr>
      <w:r>
        <w:rPr>
          <w:rFonts w:ascii="Arial" w:cs="Arial" w:eastAsia="Arial" w:hAnsi="Arial"/>
          <w:b/>
          <w:bCs/>
          <w:color w:val="1F4E79"/>
          <w:sz w:val="28"/>
          <w:szCs w:val="28"/>
        </w:rPr>
        <w:t xml:space="preserve">1. Project Overview</w:t>
      </w:r>
    </w:p>
    <w:p>
      <w:pPr>
        <w:spacing w:after="120" w:line="276"/>
      </w:pPr>
      <w:r>
        <w:rPr>
          <w:rFonts w:ascii="Arial" w:cs="Arial" w:eastAsia="Arial" w:hAnsi="Arial"/>
          <w:color w:val="000000"/>
          <w:sz w:val="21"/>
          <w:szCs w:val="21"/>
        </w:rPr>
        <w:t xml:space="preserve">This project is part of a Faculty Assistance in Data Science (FADS) role under Prof. Nick Brown. The broader vision is to support theLLMStore, a future marketplace where AI-related assets can be shared and reused. While the long-term idea includes personal or local LLMs, the current and near-term focus is on building a practical, usable data extraction and cleaning tool.</w:t>
      </w:r>
    </w:p>
    <w:p>
      <w:pPr>
        <w:spacing w:after="120" w:line="276"/>
      </w:pPr>
      <w:r>
        <w:rPr>
          <w:rFonts w:ascii="Arial" w:cs="Arial" w:eastAsia="Arial" w:hAnsi="Arial"/>
          <w:color w:val="000000"/>
          <w:sz w:val="21"/>
          <w:szCs w:val="21"/>
        </w:rPr>
        <w:t xml:space="preserve">The AI Visibility Tool is being redesigned as an intelligence extraction layer. Instead of directly uploading or sharing full LLM models (which presents platform, hosting, and privacy challenges), the tool focuses on extracting, structuring, and packaging high-quality knowledge from user-provided content so it can be reused across many AI systems.</w:t>
      </w:r>
    </w:p>
    <w:p>
      <w:pPr>
        <w:pBdr>
          <w:bottom w:val="single" w:color="B4C6E7" w:sz="1" w:space="8"/>
        </w:pBdr>
        <w:spacing w:before="200" w:after="200"/>
      </w:pPr>
    </w:p>
    <w:p>
      <w:pPr>
        <w:pStyle w:val="Heading1"/>
        <w:spacing w:before="360" w:after="200"/>
      </w:pPr>
      <w:r>
        <w:rPr>
          <w:rFonts w:ascii="Arial" w:cs="Arial" w:eastAsia="Arial" w:hAnsi="Arial"/>
          <w:b/>
          <w:bCs/>
          <w:color w:val="1F4E79"/>
          <w:sz w:val="28"/>
          <w:szCs w:val="28"/>
        </w:rPr>
        <w:t xml:space="preserve">2. Core Idea (Agreed Direction)</w:t>
      </w:r>
    </w:p>
    <w:p>
      <w:pPr>
        <w:spacing w:after="120" w:line="276"/>
      </w:pPr>
      <w:r>
        <w:rPr>
          <w:rFonts w:ascii="Arial" w:cs="Arial" w:eastAsia="Arial" w:hAnsi="Arial"/>
          <w:color w:val="000000"/>
          <w:sz w:val="21"/>
          <w:szCs w:val="21"/>
        </w:rPr>
        <w:t xml:space="preserve">The AI Visibility Tool will:</w:t>
      </w:r>
    </w:p>
    <w:p>
      <w:pPr>
        <w:pStyle w:val="ListParagraph"/>
        <w:numPr>
          <w:ilvl w:val="0"/>
          <w:numId w:val="2"/>
        </w:numPr>
        <w:spacing w:after="80" w:line="276"/>
      </w:pPr>
      <w:r>
        <w:rPr>
          <w:rFonts w:ascii="Arial" w:cs="Arial" w:eastAsia="Arial" w:hAnsi="Arial"/>
          <w:color w:val="000000"/>
          <w:sz w:val="21"/>
          <w:szCs w:val="21"/>
        </w:rPr>
        <w:t xml:space="preserve">Accept user-provided content (initially websites, later PDFs, documents, blogs)</w:t>
      </w:r>
    </w:p>
    <w:p>
      <w:pPr>
        <w:pStyle w:val="ListParagraph"/>
        <w:numPr>
          <w:ilvl w:val="0"/>
          <w:numId w:val="2"/>
        </w:numPr>
        <w:spacing w:after="80" w:line="276"/>
      </w:pPr>
      <w:r>
        <w:rPr>
          <w:rFonts w:ascii="Arial" w:cs="Arial" w:eastAsia="Arial" w:hAnsi="Arial"/>
          <w:color w:val="000000"/>
          <w:sz w:val="21"/>
          <w:szCs w:val="21"/>
        </w:rPr>
        <w:t xml:space="preserve">Extract raw content and readable text</w:t>
      </w:r>
    </w:p>
    <w:p>
      <w:pPr>
        <w:pStyle w:val="ListParagraph"/>
        <w:numPr>
          <w:ilvl w:val="0"/>
          <w:numId w:val="2"/>
        </w:numPr>
        <w:spacing w:after="80" w:line="276"/>
      </w:pPr>
      <w:r>
        <w:rPr>
          <w:rFonts w:ascii="Arial" w:cs="Arial" w:eastAsia="Arial" w:hAnsi="Arial"/>
          <w:color w:val="000000"/>
          <w:sz w:val="21"/>
          <w:szCs w:val="21"/>
        </w:rPr>
        <w:t xml:space="preserve">Clean, structure, and organize the information</w:t>
      </w:r>
    </w:p>
    <w:p>
      <w:pPr>
        <w:pStyle w:val="ListParagraph"/>
        <w:numPr>
          <w:ilvl w:val="0"/>
          <w:numId w:val="2"/>
        </w:numPr>
        <w:spacing w:after="80" w:line="276"/>
      </w:pPr>
      <w:r>
        <w:rPr>
          <w:rFonts w:ascii="Arial" w:cs="Arial" w:eastAsia="Arial" w:hAnsi="Arial"/>
          <w:color w:val="000000"/>
          <w:sz w:val="21"/>
          <w:szCs w:val="21"/>
        </w:rPr>
        <w:t xml:space="preserve">Produce portable intelligence artifacts (clean text, chunks, metadata, schema)</w:t>
      </w:r>
    </w:p>
    <w:p>
      <w:pPr>
        <w:pStyle w:val="ListParagraph"/>
        <w:numPr>
          <w:ilvl w:val="0"/>
          <w:numId w:val="2"/>
        </w:numPr>
        <w:spacing w:after="80" w:line="276"/>
      </w:pPr>
      <w:r>
        <w:rPr>
          <w:rFonts w:ascii="Arial" w:cs="Arial" w:eastAsia="Arial" w:hAnsi="Arial"/>
          <w:color w:val="000000"/>
          <w:sz w:val="21"/>
          <w:szCs w:val="21"/>
        </w:rPr>
        <w:t xml:space="preserve">Enable reuse of these artifacts by:</w:t>
      </w:r>
    </w:p>
    <w:p>
      <w:pPr>
        <w:pStyle w:val="ListParagraph"/>
        <w:numPr>
          <w:ilvl w:val="1"/>
          <w:numId w:val="2"/>
        </w:numPr>
        <w:spacing w:after="80" w:line="276"/>
      </w:pPr>
      <w:r>
        <w:rPr>
          <w:rFonts w:ascii="Arial" w:cs="Arial" w:eastAsia="Arial" w:hAnsi="Arial"/>
          <w:color w:val="000000"/>
          <w:sz w:val="21"/>
          <w:szCs w:val="21"/>
        </w:rPr>
        <w:t xml:space="preserve">Local LLM tools (e.g., AnythingLLM)</w:t>
      </w:r>
    </w:p>
    <w:p>
      <w:pPr>
        <w:pStyle w:val="ListParagraph"/>
        <w:numPr>
          <w:ilvl w:val="1"/>
          <w:numId w:val="2"/>
        </w:numPr>
        <w:spacing w:after="80" w:line="276"/>
      </w:pPr>
      <w:r>
        <w:rPr>
          <w:rFonts w:ascii="Arial" w:cs="Arial" w:eastAsia="Arial" w:hAnsi="Arial"/>
          <w:color w:val="000000"/>
          <w:sz w:val="21"/>
          <w:szCs w:val="21"/>
        </w:rPr>
        <w:t xml:space="preserve">RAG-based applications</w:t>
      </w:r>
    </w:p>
    <w:p>
      <w:pPr>
        <w:pStyle w:val="ListParagraph"/>
        <w:numPr>
          <w:ilvl w:val="1"/>
          <w:numId w:val="2"/>
        </w:numPr>
        <w:spacing w:after="80" w:line="276"/>
      </w:pPr>
      <w:r>
        <w:rPr>
          <w:rFonts w:ascii="Arial" w:cs="Arial" w:eastAsia="Arial" w:hAnsi="Arial"/>
          <w:color w:val="000000"/>
          <w:sz w:val="21"/>
          <w:szCs w:val="21"/>
        </w:rPr>
        <w:t xml:space="preserve">Future sharing via theLLMStore</w:t>
      </w:r>
    </w:p>
    <w:p>
      <w:pPr>
        <w:spacing w:before="16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E" w:val="clear"/>
            <w:tcMar>
              <w:top w:type="dxa" w:w="120"/>
              <w:left w:type="dxa" w:w="200"/>
              <w:bottom w:type="dxa" w:w="120"/>
              <w:right w:type="dxa" w:w="200"/>
            </w:tcMar>
          </w:tcPr>
          <w:p>
            <w:pPr>
              <w:spacing w:after="0"/>
            </w:pPr>
            <w:r>
              <w:rPr>
                <w:rFonts w:ascii="Arial" w:cs="Arial" w:eastAsia="Arial" w:hAnsi="Arial"/>
                <w:i/>
                <w:iCs/>
                <w:color w:val="1F4E79"/>
                <w:sz w:val="21"/>
                <w:szCs w:val="21"/>
              </w:rPr>
              <w:t xml:space="preserve">theLLMStore, in this framing, becomes a place to store and share intelligence artifacts, not necessarily full LLM models.</w:t>
            </w:r>
          </w:p>
        </w:tc>
      </w:tr>
    </w:tbl>
    <w:p>
      <w:pPr>
        <w:pBdr>
          <w:bottom w:val="single" w:color="B4C6E7" w:sz="1" w:space="8"/>
        </w:pBdr>
        <w:spacing w:before="200" w:after="200"/>
      </w:pPr>
    </w:p>
    <w:p>
      <w:pPr>
        <w:pStyle w:val="Heading1"/>
        <w:spacing w:before="360" w:after="200"/>
      </w:pPr>
      <w:r>
        <w:rPr>
          <w:rFonts w:ascii="Arial" w:cs="Arial" w:eastAsia="Arial" w:hAnsi="Arial"/>
          <w:b/>
          <w:bCs/>
          <w:color w:val="1F4E79"/>
          <w:sz w:val="28"/>
          <w:szCs w:val="28"/>
        </w:rPr>
        <w:t xml:space="preserve">3. What Has Been Completed</w:t>
      </w:r>
    </w:p>
    <w:p>
      <w:pPr>
        <w:pStyle w:val="Heading2"/>
        <w:spacing w:before="280" w:after="160"/>
      </w:pPr>
      <w:r>
        <w:rPr>
          <w:rFonts w:ascii="Arial" w:cs="Arial" w:eastAsia="Arial" w:hAnsi="Arial"/>
          <w:b/>
          <w:bCs/>
          <w:color w:val="2E75B6"/>
          <w:sz w:val="24"/>
          <w:szCs w:val="24"/>
        </w:rPr>
        <w:t xml:space="preserve">3.1 Conceptual and Design Work</w:t>
      </w:r>
    </w:p>
    <w:p>
      <w:pPr>
        <w:pStyle w:val="ListParagraph"/>
        <w:numPr>
          <w:ilvl w:val="0"/>
          <w:numId w:val="2"/>
        </w:numPr>
        <w:spacing w:after="80" w:line="276"/>
      </w:pPr>
      <w:r>
        <w:rPr>
          <w:rFonts w:ascii="Arial" w:cs="Arial" w:eastAsia="Arial" w:hAnsi="Arial"/>
          <w:color w:val="000000"/>
          <w:sz w:val="21"/>
          <w:szCs w:val="21"/>
        </w:rPr>
        <w:t xml:space="preserve">Clear understanding of the existing AI Visibility Tool codebase</w:t>
      </w:r>
    </w:p>
    <w:p>
      <w:pPr>
        <w:pStyle w:val="ListParagraph"/>
        <w:numPr>
          <w:ilvl w:val="0"/>
          <w:numId w:val="2"/>
        </w:numPr>
        <w:spacing w:after="80" w:line="276"/>
      </w:pPr>
      <w:r>
        <w:rPr>
          <w:rFonts w:ascii="Arial" w:cs="Arial" w:eastAsia="Arial" w:hAnsi="Arial"/>
          <w:color w:val="000000"/>
          <w:sz w:val="21"/>
          <w:szCs w:val="21"/>
        </w:rPr>
        <w:t xml:space="preserve">Identification of key shortcomings in the current prototype:</w:t>
      </w:r>
    </w:p>
    <w:p>
      <w:pPr>
        <w:pStyle w:val="ListParagraph"/>
        <w:numPr>
          <w:ilvl w:val="1"/>
          <w:numId w:val="2"/>
        </w:numPr>
        <w:spacing w:after="80" w:line="276"/>
      </w:pPr>
      <w:r>
        <w:rPr>
          <w:rFonts w:ascii="Arial" w:cs="Arial" w:eastAsia="Arial" w:hAnsi="Arial"/>
          <w:color w:val="000000"/>
          <w:sz w:val="21"/>
          <w:szCs w:val="21"/>
        </w:rPr>
        <w:t xml:space="preserve">Tightly coupled crawling, scoring, and suggestions</w:t>
      </w:r>
    </w:p>
    <w:p>
      <w:pPr>
        <w:pStyle w:val="ListParagraph"/>
        <w:numPr>
          <w:ilvl w:val="1"/>
          <w:numId w:val="2"/>
        </w:numPr>
        <w:spacing w:after="80" w:line="276"/>
      </w:pPr>
      <w:r>
        <w:rPr>
          <w:rFonts w:ascii="Arial" w:cs="Arial" w:eastAsia="Arial" w:hAnsi="Arial"/>
          <w:color w:val="000000"/>
          <w:sz w:val="21"/>
          <w:szCs w:val="21"/>
        </w:rPr>
        <w:t xml:space="preserve">No reusable or exportable output</w:t>
      </w:r>
    </w:p>
    <w:p>
      <w:pPr>
        <w:pStyle w:val="ListParagraph"/>
        <w:numPr>
          <w:ilvl w:val="1"/>
          <w:numId w:val="2"/>
        </w:numPr>
        <w:spacing w:after="80" w:line="276"/>
      </w:pPr>
      <w:r>
        <w:rPr>
          <w:rFonts w:ascii="Arial" w:cs="Arial" w:eastAsia="Arial" w:hAnsi="Arial"/>
          <w:color w:val="000000"/>
          <w:sz w:val="21"/>
          <w:szCs w:val="21"/>
        </w:rPr>
        <w:t xml:space="preserve">Arbitrary and qualitative scoring without prioritization</w:t>
      </w:r>
    </w:p>
    <w:p>
      <w:pPr>
        <w:pStyle w:val="ListParagraph"/>
        <w:numPr>
          <w:ilvl w:val="1"/>
          <w:numId w:val="2"/>
        </w:numPr>
        <w:spacing w:after="80" w:line="276"/>
      </w:pPr>
      <w:r>
        <w:rPr>
          <w:rFonts w:ascii="Arial" w:cs="Arial" w:eastAsia="Arial" w:hAnsi="Arial"/>
          <w:color w:val="000000"/>
          <w:sz w:val="21"/>
          <w:szCs w:val="21"/>
        </w:rPr>
        <w:t xml:space="preserve">Generic LLM suggestions</w:t>
      </w:r>
    </w:p>
    <w:p>
      <w:pPr>
        <w:pStyle w:val="ListParagraph"/>
        <w:numPr>
          <w:ilvl w:val="0"/>
          <w:numId w:val="2"/>
        </w:numPr>
        <w:spacing w:after="80" w:line="276"/>
      </w:pPr>
      <w:r>
        <w:rPr>
          <w:rFonts w:ascii="Arial" w:cs="Arial" w:eastAsia="Arial" w:hAnsi="Arial"/>
          <w:color w:val="000000"/>
          <w:sz w:val="21"/>
          <w:szCs w:val="21"/>
        </w:rPr>
        <w:t xml:space="preserve">Proposal of a redesigned, modular workflow</w:t>
      </w:r>
    </w:p>
    <w:p>
      <w:pPr>
        <w:pStyle w:val="Heading2"/>
        <w:spacing w:before="280" w:after="160"/>
      </w:pPr>
      <w:r>
        <w:rPr>
          <w:rFonts w:ascii="Arial" w:cs="Arial" w:eastAsia="Arial" w:hAnsi="Arial"/>
          <w:b/>
          <w:bCs/>
          <w:color w:val="2E75B6"/>
          <w:sz w:val="24"/>
          <w:szCs w:val="24"/>
        </w:rPr>
        <w:t xml:space="preserve">3.2 Workflow Design</w:t>
      </w:r>
    </w:p>
    <w:p>
      <w:pPr>
        <w:spacing w:after="120" w:line="276"/>
      </w:pPr>
      <w:r>
        <w:rPr>
          <w:rFonts w:ascii="Arial" w:cs="Arial" w:eastAsia="Arial" w:hAnsi="Arial"/>
          <w:color w:val="000000"/>
          <w:sz w:val="21"/>
          <w:szCs w:val="21"/>
        </w:rPr>
        <w:t xml:space="preserve">A complete end-to-end workflow diagram has been designed and approved. The pipeline consists of nine stages: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B4C6E7" w:sz="1"/>
              <w:left w:val="single" w:color="B4C6E7" w:sz="1"/>
              <w:bottom w:val="single" w:color="B4C6E7" w:sz="1"/>
              <w:right w:val="single" w:color="B4C6E7"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Stage</w:t>
            </w:r>
          </w:p>
        </w:tc>
        <w:tc>
          <w:tcPr>
            <w:tcW w:type="dxa" w:w="3000"/>
            <w:tcBorders>
              <w:top w:val="single" w:color="B4C6E7" w:sz="1"/>
              <w:left w:val="single" w:color="B4C6E7" w:sz="1"/>
              <w:bottom w:val="single" w:color="B4C6E7" w:sz="1"/>
              <w:right w:val="single" w:color="B4C6E7"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Name</w:t>
            </w:r>
          </w:p>
        </w:tc>
        <w:tc>
          <w:tcPr>
            <w:tcW w:type="dxa" w:w="5460"/>
            <w:tcBorders>
              <w:top w:val="single" w:color="B4C6E7" w:sz="1"/>
              <w:left w:val="single" w:color="B4C6E7" w:sz="1"/>
              <w:bottom w:val="single" w:color="B4C6E7" w:sz="1"/>
              <w:right w:val="single" w:color="B4C6E7"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900"/>
            <w:tcBorders>
              <w:top w:val="single" w:color="B4C6E7" w:sz="1"/>
              <w:left w:val="single" w:color="B4C6E7" w:sz="1"/>
              <w:bottom w:val="single" w:color="B4C6E7" w:sz="1"/>
              <w:right w:val="single" w:color="B4C6E7" w:sz="1"/>
            </w:tcBorders>
            <w:shd w:fill="F5F8FC"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1</w:t>
            </w:r>
          </w:p>
        </w:tc>
        <w:tc>
          <w:tcPr>
            <w:tcW w:type="dxa" w:w="3000"/>
            <w:tcBorders>
              <w:top w:val="single" w:color="B4C6E7" w:sz="1"/>
              <w:left w:val="single" w:color="B4C6E7" w:sz="1"/>
              <w:bottom w:val="single" w:color="B4C6E7" w:sz="1"/>
              <w:right w:val="single" w:color="B4C6E7" w:sz="1"/>
            </w:tcBorders>
            <w:shd w:fill="F5F8FC"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User Input</w:t>
            </w:r>
          </w:p>
        </w:tc>
        <w:tc>
          <w:tcPr>
            <w:tcW w:type="dxa" w:w="5460"/>
            <w:tcBorders>
              <w:top w:val="single" w:color="B4C6E7" w:sz="1"/>
              <w:left w:val="single" w:color="B4C6E7" w:sz="1"/>
              <w:bottom w:val="single" w:color="B4C6E7" w:sz="1"/>
              <w:right w:val="single" w:color="B4C6E7" w:sz="1"/>
            </w:tcBorders>
            <w:shd w:fill="F5F8FC"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Accept content from users (URLs, documents)</w:t>
            </w:r>
          </w:p>
        </w:tc>
      </w:tr>
      <w:tr>
        <w:tc>
          <w:tcPr>
            <w:tcW w:type="dxa" w:w="900"/>
            <w:tcBorders>
              <w:top w:val="single" w:color="B4C6E7" w:sz="1"/>
              <w:left w:val="single" w:color="B4C6E7" w:sz="1"/>
              <w:bottom w:val="single" w:color="B4C6E7" w:sz="1"/>
              <w:right w:val="single" w:color="B4C6E7"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2</w:t>
            </w:r>
          </w:p>
        </w:tc>
        <w:tc>
          <w:tcPr>
            <w:tcW w:type="dxa" w:w="3000"/>
            <w:tcBorders>
              <w:top w:val="single" w:color="B4C6E7" w:sz="1"/>
              <w:left w:val="single" w:color="B4C6E7" w:sz="1"/>
              <w:bottom w:val="single" w:color="B4C6E7" w:sz="1"/>
              <w:right w:val="single" w:color="B4C6E7"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Input Validation</w:t>
            </w:r>
          </w:p>
        </w:tc>
        <w:tc>
          <w:tcPr>
            <w:tcW w:type="dxa" w:w="5460"/>
            <w:tcBorders>
              <w:top w:val="single" w:color="B4C6E7" w:sz="1"/>
              <w:left w:val="single" w:color="B4C6E7" w:sz="1"/>
              <w:bottom w:val="single" w:color="B4C6E7" w:sz="1"/>
              <w:right w:val="single" w:color="B4C6E7"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Verify and validate provided inputs</w:t>
            </w:r>
          </w:p>
        </w:tc>
      </w:tr>
      <w:tr>
        <w:tc>
          <w:tcPr>
            <w:tcW w:type="dxa" w:w="900"/>
            <w:tcBorders>
              <w:top w:val="single" w:color="B4C6E7" w:sz="1"/>
              <w:left w:val="single" w:color="B4C6E7" w:sz="1"/>
              <w:bottom w:val="single" w:color="B4C6E7" w:sz="1"/>
              <w:right w:val="single" w:color="B4C6E7" w:sz="1"/>
            </w:tcBorders>
            <w:shd w:fill="F5F8FC"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3</w:t>
            </w:r>
          </w:p>
        </w:tc>
        <w:tc>
          <w:tcPr>
            <w:tcW w:type="dxa" w:w="3000"/>
            <w:tcBorders>
              <w:top w:val="single" w:color="B4C6E7" w:sz="1"/>
              <w:left w:val="single" w:color="B4C6E7" w:sz="1"/>
              <w:bottom w:val="single" w:color="B4C6E7" w:sz="1"/>
              <w:right w:val="single" w:color="B4C6E7" w:sz="1"/>
            </w:tcBorders>
            <w:shd w:fill="F5F8FC"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Source Collection</w:t>
            </w:r>
          </w:p>
        </w:tc>
        <w:tc>
          <w:tcPr>
            <w:tcW w:type="dxa" w:w="5460"/>
            <w:tcBorders>
              <w:top w:val="single" w:color="B4C6E7" w:sz="1"/>
              <w:left w:val="single" w:color="B4C6E7" w:sz="1"/>
              <w:bottom w:val="single" w:color="B4C6E7" w:sz="1"/>
              <w:right w:val="single" w:color="B4C6E7" w:sz="1"/>
            </w:tcBorders>
            <w:shd w:fill="F5F8FC"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Crawl/ingest and store raw content</w:t>
            </w:r>
          </w:p>
        </w:tc>
      </w:tr>
      <w:tr>
        <w:tc>
          <w:tcPr>
            <w:tcW w:type="dxa" w:w="900"/>
            <w:tcBorders>
              <w:top w:val="single" w:color="B4C6E7" w:sz="1"/>
              <w:left w:val="single" w:color="B4C6E7" w:sz="1"/>
              <w:bottom w:val="single" w:color="B4C6E7" w:sz="1"/>
              <w:right w:val="single" w:color="B4C6E7"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4</w:t>
            </w:r>
          </w:p>
        </w:tc>
        <w:tc>
          <w:tcPr>
            <w:tcW w:type="dxa" w:w="3000"/>
            <w:tcBorders>
              <w:top w:val="single" w:color="B4C6E7" w:sz="1"/>
              <w:left w:val="single" w:color="B4C6E7" w:sz="1"/>
              <w:bottom w:val="single" w:color="B4C6E7" w:sz="1"/>
              <w:right w:val="single" w:color="B4C6E7"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Cleaning &amp; Normalization</w:t>
            </w:r>
          </w:p>
        </w:tc>
        <w:tc>
          <w:tcPr>
            <w:tcW w:type="dxa" w:w="5460"/>
            <w:tcBorders>
              <w:top w:val="single" w:color="B4C6E7" w:sz="1"/>
              <w:left w:val="single" w:color="B4C6E7" w:sz="1"/>
              <w:bottom w:val="single" w:color="B4C6E7" w:sz="1"/>
              <w:right w:val="single" w:color="B4C6E7"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Remove noise, normalize structure</w:t>
            </w:r>
          </w:p>
        </w:tc>
      </w:tr>
      <w:tr>
        <w:tc>
          <w:tcPr>
            <w:tcW w:type="dxa" w:w="900"/>
            <w:tcBorders>
              <w:top w:val="single" w:color="B4C6E7" w:sz="1"/>
              <w:left w:val="single" w:color="B4C6E7" w:sz="1"/>
              <w:bottom w:val="single" w:color="B4C6E7" w:sz="1"/>
              <w:right w:val="single" w:color="B4C6E7" w:sz="1"/>
            </w:tcBorders>
            <w:shd w:fill="F5F8FC"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5</w:t>
            </w:r>
          </w:p>
        </w:tc>
        <w:tc>
          <w:tcPr>
            <w:tcW w:type="dxa" w:w="3000"/>
            <w:tcBorders>
              <w:top w:val="single" w:color="B4C6E7" w:sz="1"/>
              <w:left w:val="single" w:color="B4C6E7" w:sz="1"/>
              <w:bottom w:val="single" w:color="B4C6E7" w:sz="1"/>
              <w:right w:val="single" w:color="B4C6E7" w:sz="1"/>
            </w:tcBorders>
            <w:shd w:fill="F5F8FC"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Chunking &amp; Labeling</w:t>
            </w:r>
          </w:p>
        </w:tc>
        <w:tc>
          <w:tcPr>
            <w:tcW w:type="dxa" w:w="5460"/>
            <w:tcBorders>
              <w:top w:val="single" w:color="B4C6E7" w:sz="1"/>
              <w:left w:val="single" w:color="B4C6E7" w:sz="1"/>
              <w:bottom w:val="single" w:color="B4C6E7" w:sz="1"/>
              <w:right w:val="single" w:color="B4C6E7" w:sz="1"/>
            </w:tcBorders>
            <w:shd w:fill="F5F8FC"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Segment content into reusable units</w:t>
            </w:r>
          </w:p>
        </w:tc>
      </w:tr>
      <w:tr>
        <w:tc>
          <w:tcPr>
            <w:tcW w:type="dxa" w:w="900"/>
            <w:tcBorders>
              <w:top w:val="single" w:color="B4C6E7" w:sz="1"/>
              <w:left w:val="single" w:color="B4C6E7" w:sz="1"/>
              <w:bottom w:val="single" w:color="B4C6E7" w:sz="1"/>
              <w:right w:val="single" w:color="B4C6E7"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6</w:t>
            </w:r>
          </w:p>
        </w:tc>
        <w:tc>
          <w:tcPr>
            <w:tcW w:type="dxa" w:w="3000"/>
            <w:tcBorders>
              <w:top w:val="single" w:color="B4C6E7" w:sz="1"/>
              <w:left w:val="single" w:color="B4C6E7" w:sz="1"/>
              <w:bottom w:val="single" w:color="B4C6E7" w:sz="1"/>
              <w:right w:val="single" w:color="B4C6E7"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Metadata &amp; Schema Generation</w:t>
            </w:r>
          </w:p>
        </w:tc>
        <w:tc>
          <w:tcPr>
            <w:tcW w:type="dxa" w:w="5460"/>
            <w:tcBorders>
              <w:top w:val="single" w:color="B4C6E7" w:sz="1"/>
              <w:left w:val="single" w:color="B4C6E7" w:sz="1"/>
              <w:bottom w:val="single" w:color="B4C6E7" w:sz="1"/>
              <w:right w:val="single" w:color="B4C6E7"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Enrich chunks with metadata</w:t>
            </w:r>
          </w:p>
        </w:tc>
      </w:tr>
      <w:tr>
        <w:tc>
          <w:tcPr>
            <w:tcW w:type="dxa" w:w="900"/>
            <w:tcBorders>
              <w:top w:val="single" w:color="B4C6E7" w:sz="1"/>
              <w:left w:val="single" w:color="B4C6E7" w:sz="1"/>
              <w:bottom w:val="single" w:color="B4C6E7" w:sz="1"/>
              <w:right w:val="single" w:color="B4C6E7" w:sz="1"/>
            </w:tcBorders>
            <w:shd w:fill="F5F8FC"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7</w:t>
            </w:r>
          </w:p>
        </w:tc>
        <w:tc>
          <w:tcPr>
            <w:tcW w:type="dxa" w:w="3000"/>
            <w:tcBorders>
              <w:top w:val="single" w:color="B4C6E7" w:sz="1"/>
              <w:left w:val="single" w:color="B4C6E7" w:sz="1"/>
              <w:bottom w:val="single" w:color="B4C6E7" w:sz="1"/>
              <w:right w:val="single" w:color="B4C6E7" w:sz="1"/>
            </w:tcBorders>
            <w:shd w:fill="F5F8FC"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Artifact Packaging</w:t>
            </w:r>
          </w:p>
        </w:tc>
        <w:tc>
          <w:tcPr>
            <w:tcW w:type="dxa" w:w="5460"/>
            <w:tcBorders>
              <w:top w:val="single" w:color="B4C6E7" w:sz="1"/>
              <w:left w:val="single" w:color="B4C6E7" w:sz="1"/>
              <w:bottom w:val="single" w:color="B4C6E7" w:sz="1"/>
              <w:right w:val="single" w:color="B4C6E7" w:sz="1"/>
            </w:tcBorders>
            <w:shd w:fill="F5F8FC"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Package into portable intelligence artifacts</w:t>
            </w:r>
          </w:p>
        </w:tc>
      </w:tr>
      <w:tr>
        <w:tc>
          <w:tcPr>
            <w:tcW w:type="dxa" w:w="900"/>
            <w:tcBorders>
              <w:top w:val="single" w:color="B4C6E7" w:sz="1"/>
              <w:left w:val="single" w:color="B4C6E7" w:sz="1"/>
              <w:bottom w:val="single" w:color="B4C6E7" w:sz="1"/>
              <w:right w:val="single" w:color="B4C6E7" w:sz="1"/>
            </w:tcBorders>
            <w:shd w:fill="FFFFFF"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8</w:t>
            </w:r>
          </w:p>
        </w:tc>
        <w:tc>
          <w:tcPr>
            <w:tcW w:type="dxa" w:w="3000"/>
            <w:tcBorders>
              <w:top w:val="single" w:color="B4C6E7" w:sz="1"/>
              <w:left w:val="single" w:color="B4C6E7" w:sz="1"/>
              <w:bottom w:val="single" w:color="B4C6E7" w:sz="1"/>
              <w:right w:val="single" w:color="B4C6E7"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Storage</w:t>
            </w:r>
          </w:p>
        </w:tc>
        <w:tc>
          <w:tcPr>
            <w:tcW w:type="dxa" w:w="5460"/>
            <w:tcBorders>
              <w:top w:val="single" w:color="B4C6E7" w:sz="1"/>
              <w:left w:val="single" w:color="B4C6E7" w:sz="1"/>
              <w:bottom w:val="single" w:color="B4C6E7" w:sz="1"/>
              <w:right w:val="single" w:color="B4C6E7"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Store artifacts locally for reuse</w:t>
            </w:r>
          </w:p>
        </w:tc>
      </w:tr>
      <w:tr>
        <w:tc>
          <w:tcPr>
            <w:tcW w:type="dxa" w:w="900"/>
            <w:tcBorders>
              <w:top w:val="single" w:color="B4C6E7" w:sz="1"/>
              <w:left w:val="single" w:color="B4C6E7" w:sz="1"/>
              <w:bottom w:val="single" w:color="B4C6E7" w:sz="1"/>
              <w:right w:val="single" w:color="B4C6E7" w:sz="1"/>
            </w:tcBorders>
            <w:shd w:fill="F5F8FC" w:val="clear"/>
            <w:tcMar>
              <w:top w:type="dxa" w:w="60"/>
              <w:left w:type="dxa" w:w="120"/>
              <w:bottom w:type="dxa" w:w="60"/>
              <w:right w:type="dxa" w:w="120"/>
            </w:tcMar>
          </w:tcPr>
          <w:p>
            <w:pPr>
              <w:spacing w:after="0"/>
            </w:pPr>
            <w:r>
              <w:rPr>
                <w:rFonts w:ascii="Arial" w:cs="Arial" w:eastAsia="Arial" w:hAnsi="Arial"/>
                <w:b/>
                <w:bCs/>
                <w:color w:val="000000"/>
                <w:sz w:val="20"/>
                <w:szCs w:val="20"/>
              </w:rPr>
              <w:t xml:space="preserve">9</w:t>
            </w:r>
          </w:p>
        </w:tc>
        <w:tc>
          <w:tcPr>
            <w:tcW w:type="dxa" w:w="3000"/>
            <w:tcBorders>
              <w:top w:val="single" w:color="B4C6E7" w:sz="1"/>
              <w:left w:val="single" w:color="B4C6E7" w:sz="1"/>
              <w:bottom w:val="single" w:color="B4C6E7" w:sz="1"/>
              <w:right w:val="single" w:color="B4C6E7" w:sz="1"/>
            </w:tcBorders>
            <w:shd w:fill="F5F8FC"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Reuse (External)</w:t>
            </w:r>
          </w:p>
        </w:tc>
        <w:tc>
          <w:tcPr>
            <w:tcW w:type="dxa" w:w="5460"/>
            <w:tcBorders>
              <w:top w:val="single" w:color="B4C6E7" w:sz="1"/>
              <w:left w:val="single" w:color="B4C6E7" w:sz="1"/>
              <w:bottom w:val="single" w:color="B4C6E7" w:sz="1"/>
              <w:right w:val="single" w:color="B4C6E7" w:sz="1"/>
            </w:tcBorders>
            <w:shd w:fill="F5F8FC" w:val="clear"/>
            <w:tcMar>
              <w:top w:type="dxa" w:w="60"/>
              <w:left w:type="dxa" w:w="120"/>
              <w:bottom w:type="dxa" w:w="60"/>
              <w:right w:type="dxa" w:w="120"/>
            </w:tcMar>
          </w:tcPr>
          <w:p>
            <w:pPr>
              <w:spacing w:after="0"/>
            </w:pPr>
            <w:r>
              <w:rPr>
                <w:rFonts w:ascii="Arial" w:cs="Arial" w:eastAsia="Arial" w:hAnsi="Arial"/>
                <w:b w:val="false"/>
                <w:bCs w:val="false"/>
                <w:color w:val="000000"/>
                <w:sz w:val="20"/>
                <w:szCs w:val="20"/>
              </w:rPr>
              <w:t xml:space="preserve">Enable RAG, local LLM, and marketplace use</w:t>
            </w:r>
          </w:p>
        </w:tc>
      </w:tr>
    </w:tbl>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E" w:val="clear"/>
            <w:tcMar>
              <w:top w:type="dxa" w:w="120"/>
              <w:left w:type="dxa" w:w="200"/>
              <w:bottom w:type="dxa" w:w="120"/>
              <w:right w:type="dxa" w:w="200"/>
            </w:tcMar>
          </w:tcPr>
          <w:p>
            <w:pPr>
              <w:spacing w:after="0"/>
            </w:pPr>
            <w:r>
              <w:rPr>
                <w:rFonts w:ascii="Arial" w:cs="Arial" w:eastAsia="Arial" w:hAnsi="Arial"/>
                <w:i/>
                <w:iCs/>
                <w:color w:val="1F4E79"/>
                <w:sz w:val="21"/>
                <w:szCs w:val="21"/>
              </w:rPr>
              <w:t xml:space="preserve">This workflow diagram was reviewed by Prof. Nick Brown and explicitly approved as the correct direction.</w:t>
            </w:r>
          </w:p>
        </w:tc>
      </w:tr>
    </w:tbl>
    <w:p>
      <w:pPr>
        <w:pBdr>
          <w:bottom w:val="single" w:color="B4C6E7" w:sz="1" w:space="8"/>
        </w:pBdr>
        <w:spacing w:before="200" w:after="200"/>
      </w:pPr>
    </w:p>
    <w:p>
      <w:pPr>
        <w:pStyle w:val="Heading1"/>
        <w:spacing w:before="360" w:after="200"/>
      </w:pPr>
      <w:r>
        <w:rPr>
          <w:rFonts w:ascii="Arial" w:cs="Arial" w:eastAsia="Arial" w:hAnsi="Arial"/>
          <w:b/>
          <w:bCs/>
          <w:color w:val="1F4E79"/>
          <w:sz w:val="28"/>
          <w:szCs w:val="28"/>
        </w:rPr>
        <w:t xml:space="preserve">4. Scope Alignment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4C6E7" w:sz="1"/>
              <w:left w:val="single" w:color="B4C6E7" w:sz="1"/>
              <w:bottom w:val="single" w:color="B4C6E7" w:sz="1"/>
              <w:right w:val="single" w:color="B4C6E7" w:sz="1"/>
            </w:tcBorders>
            <w:shd w:fill="D5E8D4" w:val="clear"/>
            <w:tcMar>
              <w:top w:type="dxa" w:w="80"/>
              <w:left w:type="dxa" w:w="120"/>
              <w:bottom w:type="dxa" w:w="80"/>
              <w:right w:type="dxa" w:w="120"/>
            </w:tcMar>
          </w:tcPr>
          <w:p>
            <w:pPr>
              <w:spacing w:after="0"/>
            </w:pPr>
            <w:r>
              <w:rPr>
                <w:rFonts w:ascii="Arial" w:cs="Arial" w:eastAsia="Arial" w:hAnsi="Arial"/>
                <w:b/>
                <w:bCs/>
                <w:color w:val="2D6A2E"/>
                <w:sz w:val="21"/>
                <w:szCs w:val="21"/>
              </w:rPr>
              <w:t xml:space="preserve">In Scope</w:t>
            </w:r>
          </w:p>
        </w:tc>
        <w:tc>
          <w:tcPr>
            <w:tcW w:type="dxa" w:w="4680"/>
            <w:tcBorders>
              <w:top w:val="single" w:color="B4C6E7" w:sz="1"/>
              <w:left w:val="single" w:color="B4C6E7" w:sz="1"/>
              <w:bottom w:val="single" w:color="B4C6E7" w:sz="1"/>
              <w:right w:val="single" w:color="B4C6E7" w:sz="1"/>
            </w:tcBorders>
            <w:shd w:fill="FCE4E4" w:val="clear"/>
            <w:tcMar>
              <w:top w:type="dxa" w:w="80"/>
              <w:left w:type="dxa" w:w="120"/>
              <w:bottom w:type="dxa" w:w="80"/>
              <w:right w:type="dxa" w:w="120"/>
            </w:tcMar>
          </w:tcPr>
          <w:p>
            <w:pPr>
              <w:spacing w:after="0"/>
            </w:pPr>
            <w:r>
              <w:rPr>
                <w:rFonts w:ascii="Arial" w:cs="Arial" w:eastAsia="Arial" w:hAnsi="Arial"/>
                <w:b/>
                <w:bCs/>
                <w:color w:val="A02020"/>
                <w:sz w:val="21"/>
                <w:szCs w:val="21"/>
              </w:rPr>
              <w:t xml:space="preserve">Out of Scope (for now)</w:t>
            </w:r>
          </w:p>
        </w:tc>
      </w:tr>
      <w:tr>
        <w:tc>
          <w:tcPr>
            <w:tcW w:type="dxa" w:w="4680"/>
            <w:tcBorders>
              <w:top w:val="single" w:color="B4C6E7" w:sz="1"/>
              <w:left w:val="single" w:color="B4C6E7" w:sz="1"/>
              <w:bottom w:val="single" w:color="B4C6E7" w:sz="1"/>
              <w:right w:val="single" w:color="B4C6E7" w:sz="1"/>
            </w:tcBorders>
            <w:tcMar>
              <w:top w:type="dxa" w:w="60"/>
              <w:left w:type="dxa" w:w="120"/>
              <w:bottom w:type="dxa" w:w="60"/>
              <w:right w:type="dxa" w:w="120"/>
            </w:tcMar>
          </w:tcPr>
          <w:p>
            <w:pPr>
              <w:spacing w:after="0"/>
            </w:pPr>
            <w:r>
              <w:rPr>
                <w:rFonts w:ascii="Arial" w:cs="Arial" w:eastAsia="Arial" w:hAnsi="Arial"/>
                <w:color w:val="000000"/>
                <w:sz w:val="20"/>
                <w:szCs w:val="20"/>
              </w:rPr>
              <w:t xml:space="preserve">✓  User workflow</w:t>
            </w:r>
          </w:p>
        </w:tc>
        <w:tc>
          <w:tcPr>
            <w:tcW w:type="dxa" w:w="4680"/>
            <w:tcBorders>
              <w:top w:val="single" w:color="B4C6E7" w:sz="1"/>
              <w:left w:val="single" w:color="B4C6E7" w:sz="1"/>
              <w:bottom w:val="single" w:color="B4C6E7" w:sz="1"/>
              <w:right w:val="single" w:color="B4C6E7" w:sz="1"/>
            </w:tcBorders>
            <w:tcMar>
              <w:top w:type="dxa" w:w="60"/>
              <w:left w:type="dxa" w:w="120"/>
              <w:bottom w:type="dxa" w:w="60"/>
              <w:right w:type="dxa" w:w="120"/>
            </w:tcMar>
          </w:tcPr>
          <w:p>
            <w:pPr>
              <w:spacing w:after="0"/>
            </w:pPr>
            <w:r>
              <w:rPr>
                <w:rFonts w:ascii="Arial" w:cs="Arial" w:eastAsia="Arial" w:hAnsi="Arial"/>
                <w:color w:val="000000"/>
                <w:sz w:val="20"/>
                <w:szCs w:val="20"/>
              </w:rPr>
              <w:t xml:space="preserve">✗  Full theLLMStore marketplace UX</w:t>
            </w:r>
          </w:p>
        </w:tc>
      </w:tr>
      <w:tr>
        <w:tc>
          <w:tcPr>
            <w:tcW w:type="dxa" w:w="4680"/>
            <w:tcBorders>
              <w:top w:val="single" w:color="B4C6E7" w:sz="1"/>
              <w:left w:val="single" w:color="B4C6E7" w:sz="1"/>
              <w:bottom w:val="single" w:color="B4C6E7" w:sz="1"/>
              <w:right w:val="single" w:color="B4C6E7" w:sz="1"/>
            </w:tcBorders>
            <w:tcMar>
              <w:top w:type="dxa" w:w="60"/>
              <w:left w:type="dxa" w:w="120"/>
              <w:bottom w:type="dxa" w:w="60"/>
              <w:right w:type="dxa" w:w="120"/>
            </w:tcMar>
          </w:tcPr>
          <w:p>
            <w:pPr>
              <w:spacing w:after="0"/>
            </w:pPr>
            <w:r>
              <w:rPr>
                <w:rFonts w:ascii="Arial" w:cs="Arial" w:eastAsia="Arial" w:hAnsi="Arial"/>
                <w:color w:val="000000"/>
                <w:sz w:val="20"/>
                <w:szCs w:val="20"/>
              </w:rPr>
              <w:t xml:space="preserve">✓  Extraction and cleaning pipeline</w:t>
            </w:r>
          </w:p>
        </w:tc>
        <w:tc>
          <w:tcPr>
            <w:tcW w:type="dxa" w:w="4680"/>
            <w:tcBorders>
              <w:top w:val="single" w:color="B4C6E7" w:sz="1"/>
              <w:left w:val="single" w:color="B4C6E7" w:sz="1"/>
              <w:bottom w:val="single" w:color="B4C6E7" w:sz="1"/>
              <w:right w:val="single" w:color="B4C6E7" w:sz="1"/>
            </w:tcBorders>
            <w:tcMar>
              <w:top w:type="dxa" w:w="60"/>
              <w:left w:type="dxa" w:w="120"/>
              <w:bottom w:type="dxa" w:w="60"/>
              <w:right w:type="dxa" w:w="120"/>
            </w:tcMar>
          </w:tcPr>
          <w:p>
            <w:pPr>
              <w:spacing w:after="0"/>
            </w:pPr>
            <w:r>
              <w:rPr>
                <w:rFonts w:ascii="Arial" w:cs="Arial" w:eastAsia="Arial" w:hAnsi="Arial"/>
                <w:color w:val="000000"/>
                <w:sz w:val="20"/>
                <w:szCs w:val="20"/>
              </w:rPr>
              <w:t xml:space="preserve">✗  Payments, pricing, or licensing</w:t>
            </w:r>
          </w:p>
        </w:tc>
      </w:tr>
      <w:tr>
        <w:tc>
          <w:tcPr>
            <w:tcW w:type="dxa" w:w="4680"/>
            <w:tcBorders>
              <w:top w:val="single" w:color="B4C6E7" w:sz="1"/>
              <w:left w:val="single" w:color="B4C6E7" w:sz="1"/>
              <w:bottom w:val="single" w:color="B4C6E7" w:sz="1"/>
              <w:right w:val="single" w:color="B4C6E7" w:sz="1"/>
            </w:tcBorders>
            <w:tcMar>
              <w:top w:type="dxa" w:w="60"/>
              <w:left w:type="dxa" w:w="120"/>
              <w:bottom w:type="dxa" w:w="60"/>
              <w:right w:type="dxa" w:w="120"/>
            </w:tcMar>
          </w:tcPr>
          <w:p>
            <w:pPr>
              <w:spacing w:after="0"/>
            </w:pPr>
            <w:r>
              <w:rPr>
                <w:rFonts w:ascii="Arial" w:cs="Arial" w:eastAsia="Arial" w:hAnsi="Arial"/>
                <w:color w:val="000000"/>
                <w:sz w:val="20"/>
                <w:szCs w:val="20"/>
              </w:rPr>
              <w:t xml:space="preserve">✓  Data outputs and artifact formats</w:t>
            </w:r>
          </w:p>
        </w:tc>
        <w:tc>
          <w:tcPr>
            <w:tcW w:type="dxa" w:w="4680"/>
            <w:tcBorders>
              <w:top w:val="single" w:color="B4C6E7" w:sz="1"/>
              <w:left w:val="single" w:color="B4C6E7" w:sz="1"/>
              <w:bottom w:val="single" w:color="B4C6E7" w:sz="1"/>
              <w:right w:val="single" w:color="B4C6E7" w:sz="1"/>
            </w:tcBorders>
            <w:tcMar>
              <w:top w:type="dxa" w:w="60"/>
              <w:left w:type="dxa" w:w="120"/>
              <w:bottom w:type="dxa" w:w="60"/>
              <w:right w:type="dxa" w:w="120"/>
            </w:tcMar>
          </w:tcPr>
          <w:p>
            <w:pPr>
              <w:spacing w:after="0"/>
            </w:pPr>
            <w:r>
              <w:rPr>
                <w:rFonts w:ascii="Arial" w:cs="Arial" w:eastAsia="Arial" w:hAnsi="Arial"/>
                <w:color w:val="000000"/>
                <w:sz w:val="20"/>
                <w:szCs w:val="20"/>
              </w:rPr>
              <w:t xml:space="preserve">✗  Large-scale or production-grade crawling</w:t>
            </w:r>
          </w:p>
        </w:tc>
      </w:tr>
      <w:tr>
        <w:tc>
          <w:tcPr>
            <w:tcW w:type="dxa" w:w="4680"/>
            <w:tcBorders>
              <w:top w:val="single" w:color="B4C6E7" w:sz="1"/>
              <w:left w:val="single" w:color="B4C6E7" w:sz="1"/>
              <w:bottom w:val="single" w:color="B4C6E7" w:sz="1"/>
              <w:right w:val="single" w:color="B4C6E7" w:sz="1"/>
            </w:tcBorders>
            <w:tcMar>
              <w:top w:type="dxa" w:w="60"/>
              <w:left w:type="dxa" w:w="120"/>
              <w:bottom w:type="dxa" w:w="60"/>
              <w:right w:type="dxa" w:w="120"/>
            </w:tcMar>
          </w:tcPr>
          <w:p>
            <w:pPr>
              <w:spacing w:after="0"/>
            </w:pPr>
            <w:r>
              <w:rPr>
                <w:rFonts w:ascii="Arial" w:cs="Arial" w:eastAsia="Arial" w:hAnsi="Arial"/>
                <w:color w:val="000000"/>
                <w:sz w:val="20"/>
                <w:szCs w:val="20"/>
              </w:rPr>
              <w:t xml:space="preserve">✓  Reuse for AI visibility, RAG, and local LLMs</w:t>
            </w:r>
          </w:p>
        </w:tc>
        <w:tc>
          <w:tcPr>
            <w:tcW w:type="dxa" w:w="4680"/>
            <w:tcBorders>
              <w:top w:val="single" w:color="B4C6E7" w:sz="1"/>
              <w:left w:val="single" w:color="B4C6E7" w:sz="1"/>
              <w:bottom w:val="single" w:color="B4C6E7" w:sz="1"/>
              <w:right w:val="single" w:color="B4C6E7" w:sz="1"/>
            </w:tcBorders>
            <w:tcMar>
              <w:top w:type="dxa" w:w="60"/>
              <w:left w:type="dxa" w:w="120"/>
              <w:bottom w:type="dxa" w:w="60"/>
              <w:right w:type="dxa" w:w="120"/>
            </w:tcMar>
          </w:tcPr>
          <w:p>
            <w:pPr>
              <w:spacing w:after="0"/>
            </w:pPr>
            <w:r>
              <w:rPr>
                <w:rFonts w:ascii="Arial" w:cs="Arial" w:eastAsia="Arial" w:hAnsi="Arial"/>
                <w:color w:val="000000"/>
                <w:sz w:val="20"/>
                <w:szCs w:val="20"/>
              </w:rPr>
              <w:t xml:space="preserve">✗  Automated model training or fine-tuning</w:t>
            </w:r>
          </w:p>
        </w:tc>
      </w:tr>
      <w:tr>
        <w:tc>
          <w:tcPr>
            <w:tcW w:type="dxa" w:w="4680"/>
            <w:tcBorders>
              <w:top w:val="single" w:color="B4C6E7" w:sz="1"/>
              <w:left w:val="single" w:color="B4C6E7" w:sz="1"/>
              <w:bottom w:val="single" w:color="B4C6E7" w:sz="1"/>
              <w:right w:val="single" w:color="B4C6E7" w:sz="1"/>
            </w:tcBorders>
            <w:tcMar>
              <w:top w:type="dxa" w:w="60"/>
              <w:left w:type="dxa" w:w="120"/>
              <w:bottom w:type="dxa" w:w="60"/>
              <w:right w:type="dxa" w:w="120"/>
            </w:tcMar>
          </w:tcPr>
          <w:p>
            <w:pPr>
              <w:spacing w:after="0"/>
            </w:pPr>
            <w:r>
              <w:rPr>
                <w:rFonts w:ascii="Arial" w:cs="Arial" w:eastAsia="Arial" w:hAnsi="Arial"/>
                <w:color w:val="000000"/>
                <w:sz w:val="20"/>
                <w:szCs w:val="20"/>
              </w:rPr>
              <w:t xml:space="preserve"/>
            </w:r>
          </w:p>
        </w:tc>
        <w:tc>
          <w:tcPr>
            <w:tcW w:type="dxa" w:w="4680"/>
            <w:tcBorders>
              <w:top w:val="single" w:color="B4C6E7" w:sz="1"/>
              <w:left w:val="single" w:color="B4C6E7" w:sz="1"/>
              <w:bottom w:val="single" w:color="B4C6E7" w:sz="1"/>
              <w:right w:val="single" w:color="B4C6E7" w:sz="1"/>
            </w:tcBorders>
            <w:tcMar>
              <w:top w:type="dxa" w:w="60"/>
              <w:left w:type="dxa" w:w="120"/>
              <w:bottom w:type="dxa" w:w="60"/>
              <w:right w:type="dxa" w:w="120"/>
            </w:tcMar>
          </w:tcPr>
          <w:p>
            <w:pPr>
              <w:spacing w:after="0"/>
            </w:pPr>
            <w:r>
              <w:rPr>
                <w:rFonts w:ascii="Arial" w:cs="Arial" w:eastAsia="Arial" w:hAnsi="Arial"/>
                <w:color w:val="000000"/>
                <w:sz w:val="20"/>
                <w:szCs w:val="20"/>
              </w:rPr>
              <w:t xml:space="preserve">✗  Hosting or serving user LLMs</w:t>
            </w:r>
          </w:p>
        </w:tc>
      </w:tr>
      <w:tr>
        <w:tc>
          <w:tcPr>
            <w:tcW w:type="dxa" w:w="4680"/>
            <w:tcBorders>
              <w:top w:val="single" w:color="B4C6E7" w:sz="1"/>
              <w:left w:val="single" w:color="B4C6E7" w:sz="1"/>
              <w:bottom w:val="single" w:color="B4C6E7" w:sz="1"/>
              <w:right w:val="single" w:color="B4C6E7" w:sz="1"/>
            </w:tcBorders>
            <w:tcMar>
              <w:top w:type="dxa" w:w="60"/>
              <w:left w:type="dxa" w:w="120"/>
              <w:bottom w:type="dxa" w:w="60"/>
              <w:right w:type="dxa" w:w="120"/>
            </w:tcMar>
          </w:tcPr>
          <w:p>
            <w:pPr>
              <w:spacing w:after="0"/>
            </w:pPr>
            <w:r>
              <w:rPr>
                <w:rFonts w:ascii="Arial" w:cs="Arial" w:eastAsia="Arial" w:hAnsi="Arial"/>
                <w:color w:val="000000"/>
                <w:sz w:val="20"/>
                <w:szCs w:val="20"/>
              </w:rPr>
              <w:t xml:space="preserve"/>
            </w:r>
          </w:p>
        </w:tc>
        <w:tc>
          <w:tcPr>
            <w:tcW w:type="dxa" w:w="4680"/>
            <w:tcBorders>
              <w:top w:val="single" w:color="B4C6E7" w:sz="1"/>
              <w:left w:val="single" w:color="B4C6E7" w:sz="1"/>
              <w:bottom w:val="single" w:color="B4C6E7" w:sz="1"/>
              <w:right w:val="single" w:color="B4C6E7" w:sz="1"/>
            </w:tcBorders>
            <w:tcMar>
              <w:top w:type="dxa" w:w="60"/>
              <w:left w:type="dxa" w:w="120"/>
              <w:bottom w:type="dxa" w:w="60"/>
              <w:right w:type="dxa" w:w="120"/>
            </w:tcMar>
          </w:tcPr>
          <w:p>
            <w:pPr>
              <w:spacing w:after="0"/>
            </w:pPr>
            <w:r>
              <w:rPr>
                <w:rFonts w:ascii="Arial" w:cs="Arial" w:eastAsia="Arial" w:hAnsi="Arial"/>
                <w:color w:val="000000"/>
                <w:sz w:val="20"/>
                <w:szCs w:val="20"/>
              </w:rPr>
              <w:t xml:space="preserve">✗  Production authentication or infra</w:t>
            </w:r>
          </w:p>
        </w:tc>
      </w:tr>
    </w:tbl>
    <w:p>
      <w:pPr>
        <w:pBdr>
          <w:bottom w:val="single" w:color="B4C6E7" w:sz="1" w:space="8"/>
        </w:pBdr>
        <w:spacing w:before="200" w:after="200"/>
      </w:pPr>
    </w:p>
    <w:p>
      <w:pPr>
        <w:pStyle w:val="Heading1"/>
        <w:spacing w:before="360" w:after="200"/>
      </w:pPr>
      <w:r>
        <w:rPr>
          <w:rFonts w:ascii="Arial" w:cs="Arial" w:eastAsia="Arial" w:hAnsi="Arial"/>
          <w:b/>
          <w:bCs/>
          <w:color w:val="1F4E79"/>
          <w:sz w:val="28"/>
          <w:szCs w:val="28"/>
        </w:rPr>
        <w:t xml:space="preserve">5. Current Stage and Status</w:t>
      </w:r>
    </w:p>
    <w:p>
      <w:pPr>
        <w:spacing w:after="120" w:line="276"/>
      </w:pPr>
      <w:r>
        <w:rPr>
          <w:rFonts w:ascii="Arial" w:cs="Arial" w:eastAsia="Arial" w:hAnsi="Arial"/>
          <w:color w:val="000000"/>
          <w:sz w:val="21"/>
          <w:szCs w:val="21"/>
        </w:rPr>
        <w:t xml:space="preserve">The project moved into Week 3 with an agreed starting point at Stage 3: Source Collection. Prof. Nick Brown explicitly approved beginning at this stage. Stages 1 and 2 (User Input and Input Validation) already exist for website URLs and will only require minor tweaks later to support document uploads.</w:t>
      </w:r>
    </w:p>
    <w:p>
      <w:pPr>
        <w:pBdr>
          <w:bottom w:val="single" w:color="B4C6E7" w:sz="1" w:space="8"/>
        </w:pBdr>
        <w:spacing w:before="200" w:after="200"/>
      </w:pPr>
    </w:p>
    <w:p>
      <w:pPr>
        <w:pStyle w:val="Heading1"/>
        <w:spacing w:before="360" w:after="200"/>
      </w:pPr>
      <w:r>
        <w:rPr>
          <w:rFonts w:ascii="Arial" w:cs="Arial" w:eastAsia="Arial" w:hAnsi="Arial"/>
          <w:b/>
          <w:bCs/>
          <w:color w:val="1F4E79"/>
          <w:sz w:val="28"/>
          <w:szCs w:val="28"/>
        </w:rPr>
        <w:t xml:space="preserve">6. Stage 3: Source Collection (Definition)</w:t>
      </w:r>
    </w:p>
    <w:p>
      <w:pPr>
        <w:spacing w:after="120" w:line="276"/>
      </w:pPr>
      <w:r>
        <w:rPr>
          <w:rFonts w:ascii="Arial" w:cs="Arial" w:eastAsia="Arial" w:hAnsi="Arial"/>
          <w:color w:val="000000"/>
          <w:sz w:val="21"/>
          <w:szCs w:val="21"/>
        </w:rPr>
        <w:t xml:space="preserve">Stage 3 is strictly about collecting and storing raw sources.</w:t>
      </w:r>
    </w:p>
    <w:p>
      <w:pPr>
        <w:pStyle w:val="Heading2"/>
        <w:spacing w:before="280" w:after="160"/>
      </w:pPr>
      <w:r>
        <w:rPr>
          <w:rFonts w:ascii="Arial" w:cs="Arial" w:eastAsia="Arial" w:hAnsi="Arial"/>
          <w:b/>
          <w:bCs/>
          <w:color w:val="2E75B6"/>
          <w:sz w:val="24"/>
          <w:szCs w:val="24"/>
        </w:rPr>
        <w:t xml:space="preserve">6.1 What Stage 3 Does</w:t>
      </w:r>
    </w:p>
    <w:p>
      <w:pPr>
        <w:pStyle w:val="ListParagraph"/>
        <w:numPr>
          <w:ilvl w:val="0"/>
          <w:numId w:val="2"/>
        </w:numPr>
        <w:spacing w:after="80" w:line="276"/>
      </w:pPr>
      <w:r>
        <w:rPr>
          <w:rFonts w:ascii="Arial" w:cs="Arial" w:eastAsia="Arial" w:hAnsi="Arial"/>
          <w:color w:val="000000"/>
          <w:sz w:val="21"/>
          <w:szCs w:val="21"/>
        </w:rPr>
        <w:t xml:space="preserve">Opens the user-provided website or document</w:t>
      </w:r>
    </w:p>
    <w:p>
      <w:pPr>
        <w:pStyle w:val="ListParagraph"/>
        <w:numPr>
          <w:ilvl w:val="0"/>
          <w:numId w:val="2"/>
        </w:numPr>
        <w:spacing w:after="80" w:line="276"/>
      </w:pPr>
      <w:r>
        <w:rPr>
          <w:rFonts w:ascii="Arial" w:cs="Arial" w:eastAsia="Arial" w:hAnsi="Arial"/>
          <w:color w:val="000000"/>
          <w:sz w:val="21"/>
          <w:szCs w:val="21"/>
        </w:rPr>
        <w:t xml:space="preserve">Collects raw content (HTML or file content)</w:t>
      </w:r>
    </w:p>
    <w:p>
      <w:pPr>
        <w:pStyle w:val="ListParagraph"/>
        <w:numPr>
          <w:ilvl w:val="0"/>
          <w:numId w:val="2"/>
        </w:numPr>
        <w:spacing w:after="80" w:line="276"/>
      </w:pPr>
      <w:r>
        <w:rPr>
          <w:rFonts w:ascii="Arial" w:cs="Arial" w:eastAsia="Arial" w:hAnsi="Arial"/>
          <w:color w:val="000000"/>
          <w:sz w:val="21"/>
          <w:szCs w:val="21"/>
        </w:rPr>
        <w:t xml:space="preserve">Collects readable text</w:t>
      </w:r>
    </w:p>
    <w:p>
      <w:pPr>
        <w:pStyle w:val="ListParagraph"/>
        <w:numPr>
          <w:ilvl w:val="0"/>
          <w:numId w:val="2"/>
        </w:numPr>
        <w:spacing w:after="80" w:line="276"/>
      </w:pPr>
      <w:r>
        <w:rPr>
          <w:rFonts w:ascii="Arial" w:cs="Arial" w:eastAsia="Arial" w:hAnsi="Arial"/>
          <w:color w:val="000000"/>
          <w:sz w:val="21"/>
          <w:szCs w:val="21"/>
        </w:rPr>
        <w:t xml:space="preserve">Captures basic metadata (URL or filename, title, retrieval time)</w:t>
      </w:r>
    </w:p>
    <w:p>
      <w:pPr>
        <w:pStyle w:val="ListParagraph"/>
        <w:numPr>
          <w:ilvl w:val="0"/>
          <w:numId w:val="2"/>
        </w:numPr>
        <w:spacing w:after="80" w:line="276"/>
      </w:pPr>
      <w:r>
        <w:rPr>
          <w:rFonts w:ascii="Arial" w:cs="Arial" w:eastAsia="Arial" w:hAnsi="Arial"/>
          <w:color w:val="000000"/>
          <w:sz w:val="21"/>
          <w:szCs w:val="21"/>
        </w:rPr>
        <w:t xml:space="preserve">Stores information for reuse in later stages</w:t>
      </w:r>
    </w:p>
    <w:p>
      <w:pPr>
        <w:pStyle w:val="Heading2"/>
        <w:spacing w:before="280" w:after="160"/>
      </w:pPr>
      <w:r>
        <w:rPr>
          <w:rFonts w:ascii="Arial" w:cs="Arial" w:eastAsia="Arial" w:hAnsi="Arial"/>
          <w:b/>
          <w:bCs/>
          <w:color w:val="2E75B6"/>
          <w:sz w:val="24"/>
          <w:szCs w:val="24"/>
        </w:rPr>
        <w:t xml:space="preserve">6.2 What Stage 3 Does NOT Do</w:t>
      </w:r>
    </w:p>
    <w:p>
      <w:pPr>
        <w:pStyle w:val="ListParagraph"/>
        <w:numPr>
          <w:ilvl w:val="0"/>
          <w:numId w:val="2"/>
        </w:numPr>
        <w:spacing w:after="80" w:line="276"/>
      </w:pPr>
      <w:r>
        <w:rPr>
          <w:rFonts w:ascii="Arial" w:cs="Arial" w:eastAsia="Arial" w:hAnsi="Arial"/>
          <w:color w:val="000000"/>
          <w:sz w:val="21"/>
          <w:szCs w:val="21"/>
        </w:rPr>
        <w:t xml:space="preserve">No cleaning</w:t>
      </w:r>
    </w:p>
    <w:p>
      <w:pPr>
        <w:pStyle w:val="ListParagraph"/>
        <w:numPr>
          <w:ilvl w:val="0"/>
          <w:numId w:val="2"/>
        </w:numPr>
        <w:spacing w:after="80" w:line="276"/>
      </w:pPr>
      <w:r>
        <w:rPr>
          <w:rFonts w:ascii="Arial" w:cs="Arial" w:eastAsia="Arial" w:hAnsi="Arial"/>
          <w:color w:val="000000"/>
          <w:sz w:val="21"/>
          <w:szCs w:val="21"/>
        </w:rPr>
        <w:t xml:space="preserve">No chunking</w:t>
      </w:r>
    </w:p>
    <w:p>
      <w:pPr>
        <w:pStyle w:val="ListParagraph"/>
        <w:numPr>
          <w:ilvl w:val="0"/>
          <w:numId w:val="2"/>
        </w:numPr>
        <w:spacing w:after="80" w:line="276"/>
      </w:pPr>
      <w:r>
        <w:rPr>
          <w:rFonts w:ascii="Arial" w:cs="Arial" w:eastAsia="Arial" w:hAnsi="Arial"/>
          <w:color w:val="000000"/>
          <w:sz w:val="21"/>
          <w:szCs w:val="21"/>
        </w:rPr>
        <w:t xml:space="preserve">No scoring</w:t>
      </w:r>
    </w:p>
    <w:p>
      <w:pPr>
        <w:pStyle w:val="ListParagraph"/>
        <w:numPr>
          <w:ilvl w:val="0"/>
          <w:numId w:val="2"/>
        </w:numPr>
        <w:spacing w:after="80" w:line="276"/>
      </w:pPr>
      <w:r>
        <w:rPr>
          <w:rFonts w:ascii="Arial" w:cs="Arial" w:eastAsia="Arial" w:hAnsi="Arial"/>
          <w:color w:val="000000"/>
          <w:sz w:val="21"/>
          <w:szCs w:val="21"/>
        </w:rPr>
        <w:t xml:space="preserve">No embeddings</w:t>
      </w:r>
    </w:p>
    <w:p>
      <w:pPr>
        <w:pStyle w:val="ListParagraph"/>
        <w:numPr>
          <w:ilvl w:val="0"/>
          <w:numId w:val="2"/>
        </w:numPr>
        <w:spacing w:after="80" w:line="276"/>
      </w:pPr>
      <w:r>
        <w:rPr>
          <w:rFonts w:ascii="Arial" w:cs="Arial" w:eastAsia="Arial" w:hAnsi="Arial"/>
          <w:color w:val="000000"/>
          <w:sz w:val="21"/>
          <w:szCs w:val="21"/>
        </w:rPr>
        <w:t xml:space="preserve">No summaries</w:t>
      </w:r>
    </w:p>
    <w:p>
      <w:pPr>
        <w:pStyle w:val="ListParagraph"/>
        <w:numPr>
          <w:ilvl w:val="0"/>
          <w:numId w:val="2"/>
        </w:numPr>
        <w:spacing w:after="80" w:line="276"/>
      </w:pPr>
      <w:r>
        <w:rPr>
          <w:rFonts w:ascii="Arial" w:cs="Arial" w:eastAsia="Arial" w:hAnsi="Arial"/>
          <w:color w:val="000000"/>
          <w:sz w:val="21"/>
          <w:szCs w:val="21"/>
        </w:rPr>
        <w:t xml:space="preserve">No LLM-based suggestions</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E" w:val="clear"/>
            <w:tcMar>
              <w:top w:type="dxa" w:w="120"/>
              <w:left w:type="dxa" w:w="200"/>
              <w:bottom w:type="dxa" w:w="120"/>
              <w:right w:type="dxa" w:w="200"/>
            </w:tcMar>
          </w:tcPr>
          <w:p>
            <w:pPr>
              <w:spacing w:after="0"/>
            </w:pPr>
            <w:r>
              <w:rPr>
                <w:rFonts w:ascii="Arial" w:cs="Arial" w:eastAsia="Arial" w:hAnsi="Arial"/>
                <w:i/>
                <w:iCs/>
                <w:color w:val="1F4E79"/>
                <w:sz w:val="21"/>
                <w:szCs w:val="21"/>
              </w:rPr>
              <w:t xml:space="preserve">Stage 3 ends once raw content and metadata are safely collected and stored. It enables a crawl-once, analyze-many approach.</w:t>
            </w:r>
          </w:p>
        </w:tc>
      </w:tr>
    </w:tbl>
    <w:p>
      <w:pPr>
        <w:pStyle w:val="Heading2"/>
        <w:spacing w:before="280" w:after="160"/>
      </w:pPr>
      <w:r>
        <w:rPr>
          <w:rFonts w:ascii="Arial" w:cs="Arial" w:eastAsia="Arial" w:hAnsi="Arial"/>
          <w:b/>
          <w:bCs/>
          <w:color w:val="2E75B6"/>
          <w:sz w:val="24"/>
          <w:szCs w:val="24"/>
        </w:rPr>
        <w:t xml:space="preserve">6.3 Why Stage 3 Matters</w:t>
      </w:r>
    </w:p>
    <w:p>
      <w:pPr>
        <w:spacing w:after="120" w:line="276"/>
      </w:pPr>
      <w:r>
        <w:rPr>
          <w:rFonts w:ascii="Arial" w:cs="Arial" w:eastAsia="Arial" w:hAnsi="Arial"/>
          <w:color w:val="000000"/>
          <w:sz w:val="21"/>
          <w:szCs w:val="21"/>
        </w:rPr>
        <w:t xml:space="preserve">Stage 3 enables reusability: crawl or ingest once, then analyze, clean, score, and reuse many times. Without this stage being cleanly designed, later steps like artifact packaging, dashboards, and AnythingLLM integration are not possible.</w:t>
      </w:r>
    </w:p>
    <w:p>
      <w:pPr>
        <w:pBdr>
          <w:bottom w:val="single" w:color="B4C6E7" w:sz="1" w:space="8"/>
        </w:pBdr>
        <w:spacing w:before="200" w:after="200"/>
      </w:pPr>
    </w:p>
    <w:p>
      <w:pPr>
        <w:pStyle w:val="Heading1"/>
        <w:spacing w:before="360" w:after="200"/>
      </w:pPr>
      <w:r>
        <w:rPr>
          <w:rFonts w:ascii="Arial" w:cs="Arial" w:eastAsia="Arial" w:hAnsi="Arial"/>
          <w:b/>
          <w:bCs/>
          <w:color w:val="1F4E79"/>
          <w:sz w:val="28"/>
          <w:szCs w:val="28"/>
        </w:rPr>
        <w:t xml:space="preserve">7. Week 3 Implementation Update</w:t>
      </w:r>
    </w:p>
    <w:p>
      <w:pPr>
        <w:spacing w:after="120" w:line="276"/>
      </w:pPr>
      <w:r>
        <w:rPr>
          <w:rFonts w:ascii="Arial" w:cs="Arial" w:eastAsia="Arial" w:hAnsi="Arial"/>
          <w:color w:val="000000"/>
          <w:sz w:val="21"/>
          <w:szCs w:val="21"/>
        </w:rPr>
        <w:t xml:space="preserve">During Week 3, Stage 3 (Source Collection) was not only designed but also implemented as a working proof of concept. A local prototype was built that allows users to ingest personal documents and extract raw, reusable content entirely on their own device. This aligns directly with the LLM Bundler concept discussed with Prof. Nick Brown, where users maintain full ownership and control of their data.</w:t>
      </w:r>
    </w:p>
    <w:p>
      <w:pPr>
        <w:pStyle w:val="Heading2"/>
        <w:spacing w:before="280" w:after="160"/>
      </w:pPr>
      <w:r>
        <w:rPr>
          <w:rFonts w:ascii="Arial" w:cs="Arial" w:eastAsia="Arial" w:hAnsi="Arial"/>
          <w:b/>
          <w:bCs/>
          <w:color w:val="2E75B6"/>
          <w:sz w:val="24"/>
          <w:szCs w:val="24"/>
        </w:rPr>
        <w:t xml:space="preserve">7.1 Supported File Types</w:t>
      </w:r>
    </w:p>
    <w:p>
      <w:pPr>
        <w:pStyle w:val="ListParagraph"/>
        <w:numPr>
          <w:ilvl w:val="0"/>
          <w:numId w:val="2"/>
        </w:numPr>
        <w:spacing w:after="80" w:line="276"/>
      </w:pPr>
      <w:r>
        <w:rPr>
          <w:rFonts w:ascii="Arial" w:cs="Arial" w:eastAsia="Arial" w:hAnsi="Arial"/>
          <w:color w:val="000000"/>
          <w:sz w:val="21"/>
          <w:szCs w:val="21"/>
        </w:rPr>
        <w:t xml:space="preserve">PDF files</w:t>
      </w:r>
    </w:p>
    <w:p>
      <w:pPr>
        <w:pStyle w:val="ListParagraph"/>
        <w:numPr>
          <w:ilvl w:val="0"/>
          <w:numId w:val="2"/>
        </w:numPr>
        <w:spacing w:after="80" w:line="276"/>
      </w:pPr>
      <w:r>
        <w:rPr>
          <w:rFonts w:ascii="Arial" w:cs="Arial" w:eastAsia="Arial" w:hAnsi="Arial"/>
          <w:color w:val="000000"/>
          <w:sz w:val="21"/>
          <w:szCs w:val="21"/>
        </w:rPr>
        <w:t xml:space="preserve">Word documents (DOCX)</w:t>
      </w:r>
    </w:p>
    <w:p>
      <w:pPr>
        <w:pStyle w:val="ListParagraph"/>
        <w:numPr>
          <w:ilvl w:val="0"/>
          <w:numId w:val="2"/>
        </w:numPr>
        <w:spacing w:after="80" w:line="276"/>
      </w:pPr>
      <w:r>
        <w:rPr>
          <w:rFonts w:ascii="Arial" w:cs="Arial" w:eastAsia="Arial" w:hAnsi="Arial"/>
          <w:color w:val="000000"/>
          <w:sz w:val="21"/>
          <w:szCs w:val="21"/>
        </w:rPr>
        <w:t xml:space="preserve">PowerPoint presentations (PPTX)</w:t>
      </w:r>
    </w:p>
    <w:p>
      <w:pPr>
        <w:pStyle w:val="ListParagraph"/>
        <w:numPr>
          <w:ilvl w:val="0"/>
          <w:numId w:val="2"/>
        </w:numPr>
        <w:spacing w:after="80" w:line="276"/>
      </w:pPr>
      <w:r>
        <w:rPr>
          <w:rFonts w:ascii="Arial" w:cs="Arial" w:eastAsia="Arial" w:hAnsi="Arial"/>
          <w:color w:val="000000"/>
          <w:sz w:val="21"/>
          <w:szCs w:val="21"/>
        </w:rPr>
        <w:t xml:space="preserve">Plain text inputs</w:t>
      </w:r>
    </w:p>
    <w:p>
      <w:pPr>
        <w:pStyle w:val="Heading2"/>
        <w:spacing w:before="280" w:after="160"/>
      </w:pPr>
      <w:r>
        <w:rPr>
          <w:rFonts w:ascii="Arial" w:cs="Arial" w:eastAsia="Arial" w:hAnsi="Arial"/>
          <w:b/>
          <w:bCs/>
          <w:color w:val="2E75B6"/>
          <w:sz w:val="24"/>
          <w:szCs w:val="24"/>
        </w:rPr>
        <w:t xml:space="preserve">7.2 Processing per Source</w:t>
      </w:r>
    </w:p>
    <w:p>
      <w:pPr>
        <w:pStyle w:val="ListParagraph"/>
        <w:numPr>
          <w:ilvl w:val="0"/>
          <w:numId w:val="2"/>
        </w:numPr>
        <w:spacing w:after="80" w:line="276"/>
      </w:pPr>
      <w:r>
        <w:rPr>
          <w:rFonts w:ascii="Arial" w:cs="Arial" w:eastAsia="Arial" w:hAnsi="Arial"/>
          <w:color w:val="000000"/>
          <w:sz w:val="21"/>
          <w:szCs w:val="21"/>
        </w:rPr>
        <w:t xml:space="preserve">File ingestion on the local machine</w:t>
      </w:r>
    </w:p>
    <w:p>
      <w:pPr>
        <w:pStyle w:val="ListParagraph"/>
        <w:numPr>
          <w:ilvl w:val="0"/>
          <w:numId w:val="2"/>
        </w:numPr>
        <w:spacing w:after="80" w:line="276"/>
      </w:pPr>
      <w:r>
        <w:rPr>
          <w:rFonts w:ascii="Arial" w:cs="Arial" w:eastAsia="Arial" w:hAnsi="Arial"/>
          <w:color w:val="000000"/>
          <w:sz w:val="21"/>
          <w:szCs w:val="21"/>
        </w:rPr>
        <w:t xml:space="preserve">Raw text extraction</w:t>
      </w:r>
    </w:p>
    <w:p>
      <w:pPr>
        <w:pStyle w:val="ListParagraph"/>
        <w:numPr>
          <w:ilvl w:val="0"/>
          <w:numId w:val="2"/>
        </w:numPr>
        <w:spacing w:after="80" w:line="276"/>
      </w:pPr>
      <w:r>
        <w:rPr>
          <w:rFonts w:ascii="Arial" w:cs="Arial" w:eastAsia="Arial" w:hAnsi="Arial"/>
          <w:color w:val="000000"/>
          <w:sz w:val="21"/>
          <w:szCs w:val="21"/>
        </w:rPr>
        <w:t xml:space="preserve">Basic metadata capture (filename, file type, extraction timestamp, page/slide count where applicable)</w:t>
      </w:r>
    </w:p>
    <w:p>
      <w:pPr>
        <w:pStyle w:val="ListParagraph"/>
        <w:numPr>
          <w:ilvl w:val="0"/>
          <w:numId w:val="2"/>
        </w:numPr>
        <w:spacing w:after="80" w:line="276"/>
      </w:pPr>
      <w:r>
        <w:rPr>
          <w:rFonts w:ascii="Arial" w:cs="Arial" w:eastAsia="Arial" w:hAnsi="Arial"/>
          <w:color w:val="000000"/>
          <w:sz w:val="21"/>
          <w:szCs w:val="21"/>
        </w:rPr>
        <w:t xml:space="preserve">Local storage of extracted outputs for reuse in later stages</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E" w:val="clear"/>
            <w:tcMar>
              <w:top w:type="dxa" w:w="120"/>
              <w:left w:type="dxa" w:w="200"/>
              <w:bottom w:type="dxa" w:w="120"/>
              <w:right w:type="dxa" w:w="200"/>
            </w:tcMar>
          </w:tcPr>
          <w:p>
            <w:pPr>
              <w:spacing w:after="0"/>
            </w:pPr>
            <w:r>
              <w:rPr>
                <w:rFonts w:ascii="Arial" w:cs="Arial" w:eastAsia="Arial" w:hAnsi="Arial"/>
                <w:i/>
                <w:iCs/>
                <w:color w:val="1F4E79"/>
                <w:sz w:val="21"/>
                <w:szCs w:val="21"/>
              </w:rPr>
              <w:t xml:space="preserve">No cleaning, chunking, embeddings, scoring, or LLM-based transformations are performed at this stage, by design.</w:t>
            </w:r>
          </w:p>
        </w:tc>
      </w:tr>
    </w:tbl>
    <w:p>
      <w:pPr>
        <w:pStyle w:val="Heading2"/>
        <w:spacing w:before="280" w:after="160"/>
      </w:pPr>
      <w:r>
        <w:rPr>
          <w:rFonts w:ascii="Arial" w:cs="Arial" w:eastAsia="Arial" w:hAnsi="Arial"/>
          <w:b/>
          <w:bCs/>
          <w:color w:val="2E75B6"/>
          <w:sz w:val="24"/>
          <w:szCs w:val="24"/>
        </w:rPr>
        <w:t xml:space="preserve">7.3 Validation and Approval</w:t>
      </w:r>
    </w:p>
    <w:p>
      <w:pPr>
        <w:spacing w:after="120" w:line="276"/>
      </w:pPr>
      <w:r>
        <w:rPr>
          <w:rFonts w:ascii="Arial" w:cs="Arial" w:eastAsia="Arial" w:hAnsi="Arial"/>
          <w:color w:val="000000"/>
          <w:sz w:val="21"/>
          <w:szCs w:val="21"/>
        </w:rPr>
        <w:t xml:space="preserve">A recorded walkthrough video (~6 minutes) was created to demonstrate ingestion of multiple document types, extraction of raw text and metadata, local storage behavior, and alignment with the proposed workflow diagram. Prof. Nick Brown reviewed the implementation and explicitly confirmed that the proof of concept matches the intended vision and serves as a strong foundation for future stages.</w:t>
      </w:r>
    </w:p>
    <w:p>
      <w:pPr>
        <w:pStyle w:val="Heading2"/>
        <w:spacing w:before="280" w:after="160"/>
      </w:pPr>
      <w:r>
        <w:rPr>
          <w:rFonts w:ascii="Arial" w:cs="Arial" w:eastAsia="Arial" w:hAnsi="Arial"/>
          <w:b/>
          <w:bCs/>
          <w:color w:val="2E75B6"/>
          <w:sz w:val="24"/>
          <w:szCs w:val="24"/>
        </w:rPr>
        <w:t xml:space="preserve">7.4 Business Model Alignment (Prosumer Framing)</w:t>
      </w:r>
    </w:p>
    <w:p>
      <w:pPr>
        <w:spacing w:after="120" w:line="276"/>
      </w:pPr>
      <w:r>
        <w:rPr>
          <w:rFonts w:ascii="Arial" w:cs="Arial" w:eastAsia="Arial" w:hAnsi="Arial"/>
          <w:color w:val="000000"/>
          <w:sz w:val="21"/>
          <w:szCs w:val="21"/>
        </w:rPr>
        <w:t xml:space="preserve">The implemented Stage 3 prototype directly supports the prosumer-based business model for theLLMStore:</w:t>
      </w:r>
    </w:p>
    <w:p>
      <w:pPr>
        <w:pStyle w:val="ListParagraph"/>
        <w:numPr>
          <w:ilvl w:val="0"/>
          <w:numId w:val="2"/>
        </w:numPr>
        <w:spacing w:after="80" w:line="276"/>
      </w:pPr>
      <w:r>
        <w:rPr>
          <w:rFonts w:ascii="Arial" w:cs="Arial" w:eastAsia="Arial" w:hAnsi="Arial"/>
          <w:color w:val="000000"/>
          <w:sz w:val="21"/>
          <w:szCs w:val="21"/>
        </w:rPr>
        <w:t xml:space="preserve">Users download and run the extraction tool locally</w:t>
      </w:r>
    </w:p>
    <w:p>
      <w:pPr>
        <w:pStyle w:val="ListParagraph"/>
        <w:numPr>
          <w:ilvl w:val="0"/>
          <w:numId w:val="2"/>
        </w:numPr>
        <w:spacing w:after="80" w:line="276"/>
      </w:pPr>
      <w:r>
        <w:rPr>
          <w:rFonts w:ascii="Arial" w:cs="Arial" w:eastAsia="Arial" w:hAnsi="Arial"/>
          <w:color w:val="000000"/>
          <w:sz w:val="21"/>
          <w:szCs w:val="21"/>
        </w:rPr>
        <w:t xml:space="preserve">Users choose which personal files to process</w:t>
      </w:r>
    </w:p>
    <w:p>
      <w:pPr>
        <w:pStyle w:val="ListParagraph"/>
        <w:numPr>
          <w:ilvl w:val="0"/>
          <w:numId w:val="2"/>
        </w:numPr>
        <w:spacing w:after="80" w:line="276"/>
      </w:pPr>
      <w:r>
        <w:rPr>
          <w:rFonts w:ascii="Arial" w:cs="Arial" w:eastAsia="Arial" w:hAnsi="Arial"/>
          <w:color w:val="000000"/>
          <w:sz w:val="21"/>
          <w:szCs w:val="21"/>
        </w:rPr>
        <w:t xml:space="preserve">All raw content extraction occurs on the user’s device</w:t>
      </w:r>
    </w:p>
    <w:p>
      <w:pPr>
        <w:pStyle w:val="ListParagraph"/>
        <w:numPr>
          <w:ilvl w:val="0"/>
          <w:numId w:val="2"/>
        </w:numPr>
        <w:spacing w:after="80" w:line="276"/>
      </w:pPr>
      <w:r>
        <w:rPr>
          <w:rFonts w:ascii="Arial" w:cs="Arial" w:eastAsia="Arial" w:hAnsi="Arial"/>
          <w:color w:val="000000"/>
          <w:sz w:val="21"/>
          <w:szCs w:val="21"/>
        </w:rPr>
        <w:t xml:space="preserve">Users retain full copyright and intellectual property ownership</w:t>
      </w:r>
    </w:p>
    <w:p>
      <w:pPr>
        <w:pStyle w:val="ListParagraph"/>
        <w:numPr>
          <w:ilvl w:val="0"/>
          <w:numId w:val="2"/>
        </w:numPr>
        <w:spacing w:after="80" w:line="276"/>
      </w:pPr>
      <w:r>
        <w:rPr>
          <w:rFonts w:ascii="Arial" w:cs="Arial" w:eastAsia="Arial" w:hAnsi="Arial"/>
          <w:color w:val="000000"/>
          <w:sz w:val="21"/>
          <w:szCs w:val="21"/>
        </w:rPr>
        <w:t xml:space="preserve">theLLMStore does not host user data or LLMs, acting instead as a market maker and discovery layer</w:t>
      </w:r>
    </w:p>
    <w:p>
      <w:pPr>
        <w:spacing w:after="120" w:line="276"/>
      </w:pPr>
      <w:r>
        <w:rPr>
          <w:rFonts w:ascii="Arial" w:cs="Arial" w:eastAsia="Arial" w:hAnsi="Arial"/>
          <w:color w:val="000000"/>
          <w:sz w:val="21"/>
          <w:szCs w:val="21"/>
        </w:rPr>
        <w:t xml:space="preserve">The extracted outputs are intended to later be transformed into AI-agent-accessible formats while preserving user ownership and minimizing legal and infrastructure risks.</w:t>
      </w:r>
    </w:p>
    <w:p>
      <w:pPr>
        <w:pBdr>
          <w:bottom w:val="single" w:color="B4C6E7" w:sz="1" w:space="8"/>
        </w:pBdr>
        <w:spacing w:before="200" w:after="200"/>
      </w:pPr>
    </w:p>
    <w:p>
      <w:pPr>
        <w:pStyle w:val="Heading1"/>
        <w:spacing w:before="360" w:after="200"/>
      </w:pPr>
      <w:r>
        <w:rPr>
          <w:rFonts w:ascii="Arial" w:cs="Arial" w:eastAsia="Arial" w:hAnsi="Arial"/>
          <w:b/>
          <w:bCs/>
          <w:color w:val="1F4E79"/>
          <w:sz w:val="28"/>
          <w:szCs w:val="28"/>
        </w:rPr>
        <w:t xml:space="preserve">8. Week 4: Cleaning, Chunking, and Local RAG Validation</w:t>
      </w:r>
    </w:p>
    <w:p>
      <w:pPr>
        <w:pStyle w:val="Heading2"/>
        <w:spacing w:before="280" w:after="160"/>
      </w:pPr>
      <w:r>
        <w:rPr>
          <w:rFonts w:ascii="Arial" w:cs="Arial" w:eastAsia="Arial" w:hAnsi="Arial"/>
          <w:b/>
          <w:bCs/>
          <w:color w:val="2E75B6"/>
          <w:sz w:val="24"/>
          <w:szCs w:val="24"/>
        </w:rPr>
        <w:t xml:space="preserve">8.1 Text Cleaning Strategy</w:t>
      </w:r>
    </w:p>
    <w:p>
      <w:pPr>
        <w:spacing w:after="120" w:line="276"/>
      </w:pPr>
      <w:r>
        <w:rPr>
          <w:rFonts w:ascii="Arial" w:cs="Arial" w:eastAsia="Arial" w:hAnsi="Arial"/>
          <w:color w:val="000000"/>
          <w:sz w:val="21"/>
          <w:szCs w:val="21"/>
        </w:rPr>
        <w:t xml:space="preserve">The extracted text is processed using a light cleaning approach that removes obvious noise while preserving meaningful structure that large language models rely on. This includes normalizing excessive whitespace, fixing PDF-related hyphenation issues, and removing non-printable characters, while intentionally keeping paragraph breaks, headings, lists, and punctuation intact.</w:t>
      </w:r>
    </w:p>
    <w:p>
      <w:pPr>
        <w:pStyle w:val="Heading2"/>
        <w:spacing w:before="280" w:after="160"/>
      </w:pPr>
      <w:r>
        <w:rPr>
          <w:rFonts w:ascii="Arial" w:cs="Arial" w:eastAsia="Arial" w:hAnsi="Arial"/>
          <w:b/>
          <w:bCs/>
          <w:color w:val="2E75B6"/>
          <w:sz w:val="24"/>
          <w:szCs w:val="24"/>
        </w:rPr>
        <w:t xml:space="preserve">8.2 Hybrid Chunking Approach</w:t>
      </w:r>
    </w:p>
    <w:p>
      <w:pPr>
        <w:spacing w:after="120" w:line="276"/>
      </w:pPr>
      <w:r>
        <w:rPr>
          <w:rFonts w:ascii="Arial" w:cs="Arial" w:eastAsia="Arial" w:hAnsi="Arial"/>
          <w:color w:val="000000"/>
          <w:sz w:val="21"/>
          <w:szCs w:val="21"/>
        </w:rPr>
        <w:t xml:space="preserve">After cleaning, the text is divided into reusable chunks using a hybrid chunking strategy:</w:t>
      </w:r>
    </w:p>
    <w:p>
      <w:pPr>
        <w:pStyle w:val="ListParagraph"/>
        <w:numPr>
          <w:ilvl w:val="0"/>
          <w:numId w:val="2"/>
        </w:numPr>
        <w:spacing w:after="80" w:line="276"/>
      </w:pPr>
      <w:r>
        <w:rPr>
          <w:rFonts w:ascii="Arial" w:cs="Arial" w:eastAsia="Arial" w:hAnsi="Arial"/>
          <w:color w:val="000000"/>
          <w:sz w:val="21"/>
          <w:szCs w:val="21"/>
        </w:rPr>
        <w:t xml:space="preserve">Content is first split along semantic boundaries (paragraphs, sections)</w:t>
      </w:r>
    </w:p>
    <w:p>
      <w:pPr>
        <w:pStyle w:val="ListParagraph"/>
        <w:numPr>
          <w:ilvl w:val="0"/>
          <w:numId w:val="2"/>
        </w:numPr>
        <w:spacing w:after="80" w:line="276"/>
      </w:pPr>
      <w:r>
        <w:rPr>
          <w:rFonts w:ascii="Arial" w:cs="Arial" w:eastAsia="Arial" w:hAnsi="Arial"/>
          <w:color w:val="000000"/>
          <w:sz w:val="21"/>
          <w:szCs w:val="21"/>
        </w:rPr>
        <w:t xml:space="preserve">Only further divided by sentences or fixed-size limits if necessary</w:t>
      </w:r>
    </w:p>
    <w:p>
      <w:pPr>
        <w:pStyle w:val="ListParagraph"/>
        <w:numPr>
          <w:ilvl w:val="0"/>
          <w:numId w:val="2"/>
        </w:numPr>
        <w:spacing w:after="80" w:line="276"/>
      </w:pPr>
      <w:r>
        <w:rPr>
          <w:rFonts w:ascii="Arial" w:cs="Arial" w:eastAsia="Arial" w:hAnsi="Arial"/>
          <w:color w:val="000000"/>
          <w:sz w:val="21"/>
          <w:szCs w:val="21"/>
        </w:rPr>
        <w:t xml:space="preserve">Target chunk size: 500–800 characters, with a hard maximum of 1,200 characters</w:t>
      </w:r>
    </w:p>
    <w:p>
      <w:pPr>
        <w:pStyle w:val="ListParagraph"/>
        <w:numPr>
          <w:ilvl w:val="0"/>
          <w:numId w:val="2"/>
        </w:numPr>
        <w:spacing w:after="80" w:line="276"/>
      </w:pPr>
      <w:r>
        <w:rPr>
          <w:rFonts w:ascii="Arial" w:cs="Arial" w:eastAsia="Arial" w:hAnsi="Arial"/>
          <w:color w:val="000000"/>
          <w:sz w:val="21"/>
          <w:szCs w:val="21"/>
        </w:rPr>
        <w:t xml:space="preserve">Small overlap between adjacent chunks preserves context across boundaries</w:t>
      </w:r>
    </w:p>
    <w:p>
      <w:pPr>
        <w:spacing w:after="120" w:line="276"/>
      </w:pPr>
      <w:r>
        <w:rPr>
          <w:rFonts w:ascii="Arial" w:cs="Arial" w:eastAsia="Arial" w:hAnsi="Arial"/>
          <w:color w:val="000000"/>
          <w:sz w:val="21"/>
          <w:szCs w:val="21"/>
        </w:rPr>
        <w:t xml:space="preserve">This layered approach ensures that chunks remain meaningful, reusable, and optimized for retrieval in RAG pipelines and local LLM systems.</w:t>
      </w:r>
    </w:p>
    <w:p>
      <w:pPr>
        <w:pStyle w:val="Heading2"/>
        <w:spacing w:before="280" w:after="160"/>
      </w:pPr>
      <w:r>
        <w:rPr>
          <w:rFonts w:ascii="Arial" w:cs="Arial" w:eastAsia="Arial" w:hAnsi="Arial"/>
          <w:b/>
          <w:bCs/>
          <w:color w:val="2E75B6"/>
          <w:sz w:val="24"/>
          <w:szCs w:val="24"/>
        </w:rPr>
        <w:t xml:space="preserve">8.3 Chunk ID Generation</w:t>
      </w:r>
    </w:p>
    <w:p>
      <w:pPr>
        <w:spacing w:after="120" w:line="276"/>
      </w:pPr>
      <w:r>
        <w:rPr>
          <w:rFonts w:ascii="Arial" w:cs="Arial" w:eastAsia="Arial" w:hAnsi="Arial"/>
          <w:color w:val="000000"/>
          <w:sz w:val="21"/>
          <w:szCs w:val="21"/>
        </w:rPr>
        <w:t xml:space="preserve">Each chunk is assigned a deterministic, human-readable ID by combining a stable hash of the document (derived from the filename and a portion of its content) with an ordered chunk index. This ensures reproducibility across runs, uniqueness across documents, and safe reuse in downstream workflows such as embeddings, vector storage, and RAG pipelines.</w:t>
      </w:r>
    </w:p>
    <w:p>
      <w:pPr>
        <w:pStyle w:val="Heading2"/>
        <w:spacing w:before="280" w:after="160"/>
      </w:pPr>
      <w:r>
        <w:rPr>
          <w:rFonts w:ascii="Arial" w:cs="Arial" w:eastAsia="Arial" w:hAnsi="Arial"/>
          <w:b/>
          <w:bCs/>
          <w:color w:val="2E75B6"/>
          <w:sz w:val="24"/>
          <w:szCs w:val="24"/>
        </w:rPr>
        <w:t xml:space="preserve">8.4 Local RAG Proof of Concept</w:t>
      </w:r>
    </w:p>
    <w:p>
      <w:pPr>
        <w:spacing w:after="120" w:line="276"/>
      </w:pPr>
      <w:r>
        <w:rPr>
          <w:rFonts w:ascii="Arial" w:cs="Arial" w:eastAsia="Arial" w:hAnsi="Arial"/>
          <w:color w:val="000000"/>
          <w:sz w:val="21"/>
          <w:szCs w:val="21"/>
        </w:rPr>
        <w:t xml:space="preserve">The goal of this phase was to validate that preprocessed, locally controlled document artifacts can be embedded and queried through a local LLM pipeline, demonstrating the feasibility of a permissioned, personalized knowledge layer.</w:t>
      </w:r>
    </w:p>
    <w:p>
      <w:pPr>
        <w:spacing w:before="200" w:after="120"/>
      </w:pPr>
      <w:r>
        <w:rPr>
          <w:rFonts w:ascii="Arial" w:cs="Arial" w:eastAsia="Arial" w:hAnsi="Arial"/>
          <w:b/>
          <w:bCs/>
          <w:color w:val="1F4E79"/>
          <w:sz w:val="22"/>
          <w:szCs w:val="22"/>
        </w:rPr>
        <w:t xml:space="preserve">Work Completed</w:t>
      </w:r>
    </w:p>
    <w:p>
      <w:pPr>
        <w:pStyle w:val="ListParagraph"/>
        <w:numPr>
          <w:ilvl w:val="0"/>
          <w:numId w:val="3"/>
        </w:numPr>
        <w:spacing w:after="80" w:line="276"/>
      </w:pPr>
      <w:r>
        <w:rPr>
          <w:rFonts w:ascii="Arial" w:cs="Arial" w:eastAsia="Arial" w:hAnsi="Arial"/>
          <w:b/>
          <w:bCs/>
          <w:color w:val="000000"/>
          <w:sz w:val="21"/>
          <w:szCs w:val="21"/>
        </w:rPr>
        <w:t xml:space="preserve">Chunk Utilization: </w:t>
      </w:r>
      <w:r>
        <w:rPr>
          <w:rFonts w:ascii="Arial" w:cs="Arial" w:eastAsia="Arial" w:hAnsi="Arial"/>
          <w:color w:val="000000"/>
          <w:sz w:val="21"/>
          <w:szCs w:val="21"/>
        </w:rPr>
        <w:t xml:space="preserve">Document chunks generated during Stage 4 were used as foundational knowledge units, preserving deterministic identifiers, controlled text boundaries, and consistent metadata.</w:t>
      </w:r>
    </w:p>
    <w:p>
      <w:pPr>
        <w:pStyle w:val="ListParagraph"/>
        <w:numPr>
          <w:ilvl w:val="0"/>
          <w:numId w:val="3"/>
        </w:numPr>
        <w:spacing w:after="80" w:line="276"/>
      </w:pPr>
      <w:r>
        <w:rPr>
          <w:rFonts w:ascii="Arial" w:cs="Arial" w:eastAsia="Arial" w:hAnsi="Arial"/>
          <w:b/>
          <w:bCs/>
          <w:color w:val="000000"/>
          <w:sz w:val="21"/>
          <w:szCs w:val="21"/>
        </w:rPr>
        <w:t xml:space="preserve">Vector Embedding Generation: </w:t>
      </w:r>
      <w:r>
        <w:rPr>
          <w:rFonts w:ascii="Arial" w:cs="Arial" w:eastAsia="Arial" w:hAnsi="Arial"/>
          <w:color w:val="000000"/>
          <w:sz w:val="21"/>
          <w:szCs w:val="21"/>
        </w:rPr>
        <w:t xml:space="preserve">Chunked artifacts were ingested into AnythingLLM, where vector embeddings were generated locally, confirming compatibility with external RAG tooling.</w:t>
      </w:r>
    </w:p>
    <w:p>
      <w:pPr>
        <w:pStyle w:val="ListParagraph"/>
        <w:numPr>
          <w:ilvl w:val="0"/>
          <w:numId w:val="3"/>
        </w:numPr>
        <w:spacing w:after="80" w:line="276"/>
      </w:pPr>
      <w:r>
        <w:rPr>
          <w:rFonts w:ascii="Arial" w:cs="Arial" w:eastAsia="Arial" w:hAnsi="Arial"/>
          <w:b/>
          <w:bCs/>
          <w:color w:val="000000"/>
          <w:sz w:val="21"/>
          <w:szCs w:val="21"/>
        </w:rPr>
        <w:t xml:space="preserve">Local Knowledge Base Construction: </w:t>
      </w:r>
      <w:r>
        <w:rPr>
          <w:rFonts w:ascii="Arial" w:cs="Arial" w:eastAsia="Arial" w:hAnsi="Arial"/>
          <w:color w:val="000000"/>
          <w:sz w:val="21"/>
          <w:szCs w:val="21"/>
        </w:rPr>
        <w:t xml:space="preserve">A dedicated workspace was created within AnythingLLM as a localized vector index, with all embeddings stored locally.</w:t>
      </w:r>
    </w:p>
    <w:p>
      <w:pPr>
        <w:pStyle w:val="ListParagraph"/>
        <w:numPr>
          <w:ilvl w:val="0"/>
          <w:numId w:val="3"/>
        </w:numPr>
        <w:spacing w:after="80" w:line="276"/>
      </w:pPr>
      <w:r>
        <w:rPr>
          <w:rFonts w:ascii="Arial" w:cs="Arial" w:eastAsia="Arial" w:hAnsi="Arial"/>
          <w:b/>
          <w:bCs/>
          <w:color w:val="000000"/>
          <w:sz w:val="21"/>
          <w:szCs w:val="21"/>
        </w:rPr>
        <w:t xml:space="preserve">Local LLM Integration and Querying: </w:t>
      </w:r>
      <w:r>
        <w:rPr>
          <w:rFonts w:ascii="Arial" w:cs="Arial" w:eastAsia="Arial" w:hAnsi="Arial"/>
          <w:color w:val="000000"/>
          <w:sz w:val="21"/>
          <w:szCs w:val="21"/>
        </w:rPr>
        <w:t xml:space="preserve">A local LLM was connected to the embedded knowledge base, enabling question answering over document content with responses grounded in the ingested chunks.</w:t>
      </w:r>
    </w:p>
    <w:p>
      <w:pPr>
        <w:pStyle w:val="ListParagraph"/>
        <w:numPr>
          <w:ilvl w:val="0"/>
          <w:numId w:val="3"/>
        </w:numPr>
        <w:spacing w:after="80" w:line="276"/>
      </w:pPr>
      <w:r>
        <w:rPr>
          <w:rFonts w:ascii="Arial" w:cs="Arial" w:eastAsia="Arial" w:hAnsi="Arial"/>
          <w:b/>
          <w:bCs/>
          <w:color w:val="000000"/>
          <w:sz w:val="21"/>
          <w:szCs w:val="21"/>
        </w:rPr>
        <w:t xml:space="preserve">Validation of Permissioned Retrieval: </w:t>
      </w:r>
      <w:r>
        <w:rPr>
          <w:rFonts w:ascii="Arial" w:cs="Arial" w:eastAsia="Arial" w:hAnsi="Arial"/>
          <w:color w:val="000000"/>
          <w:sz w:val="21"/>
          <w:szCs w:val="21"/>
        </w:rPr>
        <w:t xml:space="preserve">The system demonstrated that answers were generated from explicitly ingested, user-approved content rather than uncontrolled external sources.</w:t>
      </w:r>
    </w:p>
    <w:p>
      <w:pPr>
        <w:spacing w:before="200" w:after="120"/>
      </w:pPr>
      <w:r>
        <w:rPr>
          <w:rFonts w:ascii="Arial" w:cs="Arial" w:eastAsia="Arial" w:hAnsi="Arial"/>
          <w:b/>
          <w:bCs/>
          <w:color w:val="1F4E79"/>
          <w:sz w:val="22"/>
          <w:szCs w:val="22"/>
        </w:rPr>
        <w:t xml:space="preserve">Key Outcome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E" w:val="clear"/>
            <w:tcMar>
              <w:top w:type="dxa" w:w="120"/>
              <w:left w:type="dxa" w:w="200"/>
              <w:bottom w:type="dxa" w:w="120"/>
              <w:right w:type="dxa" w:w="200"/>
            </w:tcMar>
          </w:tcPr>
          <w:p>
            <w:pPr>
              <w:spacing w:after="0"/>
            </w:pPr>
            <w:r>
              <w:rPr>
                <w:rFonts w:ascii="Arial" w:cs="Arial" w:eastAsia="Arial" w:hAnsi="Arial"/>
                <w:i/>
                <w:iCs/>
                <w:color w:val="1F4E79"/>
                <w:sz w:val="21"/>
                <w:szCs w:val="21"/>
              </w:rPr>
              <w:t xml:space="preserve">Preprocessing documents into structured, deterministic chunks prior to embedding provides a meaningful advantage over direct file uploads. The approach improves transparency, reproducibility, and explainability in retrieval-based LLM systems while preserving local ownership and privacy of user data.</w:t>
            </w:r>
          </w:p>
        </w:tc>
      </w:tr>
    </w:tbl>
    <w:p>
      <w:pPr>
        <w:pBdr>
          <w:bottom w:val="single" w:color="B4C6E7" w:sz="1" w:space="8"/>
        </w:pBdr>
        <w:spacing w:before="200" w:after="200"/>
      </w:pPr>
    </w:p>
    <w:p>
      <w:pPr>
        <w:pStyle w:val="Heading1"/>
        <w:spacing w:before="360" w:after="200"/>
      </w:pPr>
      <w:r>
        <w:rPr>
          <w:rFonts w:ascii="Arial" w:cs="Arial" w:eastAsia="Arial" w:hAnsi="Arial"/>
          <w:b/>
          <w:bCs/>
          <w:color w:val="1F4E79"/>
          <w:sz w:val="28"/>
          <w:szCs w:val="28"/>
        </w:rPr>
        <w:t xml:space="preserve">9. Current Status Summary</w:t>
      </w:r>
    </w:p>
    <w:p>
      <w:pPr>
        <w:pStyle w:val="ListParagraph"/>
        <w:numPr>
          <w:ilvl w:val="0"/>
          <w:numId w:val="2"/>
        </w:numPr>
        <w:spacing w:after="80" w:line="276"/>
      </w:pPr>
      <w:r>
        <w:rPr>
          <w:rFonts w:ascii="Arial" w:cs="Arial" w:eastAsia="Arial" w:hAnsi="Arial"/>
          <w:color w:val="000000"/>
          <w:sz w:val="21"/>
          <w:szCs w:val="21"/>
        </w:rPr>
        <w:t xml:space="preserve">Stage 3 (Source Collection) — Complete and validated</w:t>
      </w:r>
    </w:p>
    <w:p>
      <w:pPr>
        <w:pStyle w:val="ListParagraph"/>
        <w:numPr>
          <w:ilvl w:val="0"/>
          <w:numId w:val="2"/>
        </w:numPr>
        <w:spacing w:after="80" w:line="276"/>
      </w:pPr>
      <w:r>
        <w:rPr>
          <w:rFonts w:ascii="Arial" w:cs="Arial" w:eastAsia="Arial" w:hAnsi="Arial"/>
          <w:color w:val="000000"/>
          <w:sz w:val="21"/>
          <w:szCs w:val="21"/>
        </w:rPr>
        <w:t xml:space="preserve">Stage 4 (Cleaning and Normalization) — Complete with proof of concept</w:t>
      </w:r>
    </w:p>
    <w:p>
      <w:pPr>
        <w:pStyle w:val="ListParagraph"/>
        <w:numPr>
          <w:ilvl w:val="0"/>
          <w:numId w:val="2"/>
        </w:numPr>
        <w:spacing w:after="80" w:line="276"/>
      </w:pPr>
      <w:r>
        <w:rPr>
          <w:rFonts w:ascii="Arial" w:cs="Arial" w:eastAsia="Arial" w:hAnsi="Arial"/>
          <w:color w:val="000000"/>
          <w:sz w:val="21"/>
          <w:szCs w:val="21"/>
        </w:rPr>
        <w:t xml:space="preserve">End-to-end pipeline operational: local ingestion → controlled chunking → local embedding → grounded LLM Q&amp;A</w:t>
      </w:r>
    </w:p>
    <w:p>
      <w:pPr>
        <w:pStyle w:val="ListParagraph"/>
        <w:numPr>
          <w:ilvl w:val="0"/>
          <w:numId w:val="2"/>
        </w:numPr>
        <w:spacing w:after="80" w:line="276"/>
      </w:pPr>
      <w:r>
        <w:rPr>
          <w:rFonts w:ascii="Arial" w:cs="Arial" w:eastAsia="Arial" w:hAnsi="Arial"/>
          <w:color w:val="000000"/>
          <w:sz w:val="21"/>
          <w:szCs w:val="21"/>
        </w:rPr>
        <w:t xml:space="preserve">Project is ready to advance to subsequent stages (metadata enrichment, artifact packaging, RAG integration)</w:t>
      </w:r>
    </w:p>
    <w:p>
      <w:pPr>
        <w:pBdr>
          <w:bottom w:val="single" w:color="B4C6E7" w:sz="1" w:space="8"/>
        </w:pBdr>
        <w:spacing w:before="200" w:after="200"/>
      </w:pPr>
    </w:p>
    <w:p>
      <w:pPr>
        <w:pStyle w:val="Heading1"/>
        <w:spacing w:before="360" w:after="200"/>
      </w:pPr>
      <w:r>
        <w:rPr>
          <w:rFonts w:ascii="Arial" w:cs="Arial" w:eastAsia="Arial" w:hAnsi="Arial"/>
          <w:b/>
          <w:bCs/>
          <w:color w:val="1F4E79"/>
          <w:sz w:val="28"/>
          <w:szCs w:val="28"/>
        </w:rPr>
        <w:t xml:space="preserve">10. Long-Term Goal</w:t>
      </w:r>
    </w:p>
    <w:p>
      <w:pPr>
        <w:spacing w:after="120" w:line="276"/>
      </w:pPr>
      <w:r>
        <w:rPr>
          <w:rFonts w:ascii="Arial" w:cs="Arial" w:eastAsia="Arial" w:hAnsi="Arial"/>
          <w:color w:val="000000"/>
          <w:sz w:val="21"/>
          <w:szCs w:val="21"/>
        </w:rPr>
        <w:t xml:space="preserve">To evolve the AI Visibility Tool into:</w:t>
      </w:r>
    </w:p>
    <w:p>
      <w:pPr>
        <w:pStyle w:val="ListParagraph"/>
        <w:numPr>
          <w:ilvl w:val="0"/>
          <w:numId w:val="2"/>
        </w:numPr>
        <w:spacing w:after="80" w:line="276"/>
      </w:pPr>
      <w:r>
        <w:rPr>
          <w:rFonts w:ascii="Arial" w:cs="Arial" w:eastAsia="Arial" w:hAnsi="Arial"/>
          <w:color w:val="000000"/>
          <w:sz w:val="21"/>
          <w:szCs w:val="21"/>
        </w:rPr>
        <w:t xml:space="preserve">A reusable intelligence extraction system</w:t>
      </w:r>
    </w:p>
    <w:p>
      <w:pPr>
        <w:pStyle w:val="ListParagraph"/>
        <w:numPr>
          <w:ilvl w:val="0"/>
          <w:numId w:val="2"/>
        </w:numPr>
        <w:spacing w:after="80" w:line="276"/>
      </w:pPr>
      <w:r>
        <w:rPr>
          <w:rFonts w:ascii="Arial" w:cs="Arial" w:eastAsia="Arial" w:hAnsi="Arial"/>
          <w:color w:val="000000"/>
          <w:sz w:val="21"/>
          <w:szCs w:val="21"/>
        </w:rPr>
        <w:t xml:space="preserve">A foundation for AI visibility optimization</w:t>
      </w:r>
    </w:p>
    <w:p>
      <w:pPr>
        <w:pStyle w:val="ListParagraph"/>
        <w:numPr>
          <w:ilvl w:val="0"/>
          <w:numId w:val="2"/>
        </w:numPr>
        <w:spacing w:after="80" w:line="276"/>
      </w:pPr>
      <w:r>
        <w:rPr>
          <w:rFonts w:ascii="Arial" w:cs="Arial" w:eastAsia="Arial" w:hAnsi="Arial"/>
          <w:color w:val="000000"/>
          <w:sz w:val="21"/>
          <w:szCs w:val="21"/>
        </w:rPr>
        <w:t xml:space="preserve">A contributor to theLLMStore ecosystem through shareable intelligence artifacts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AI Visibility Tool — Weekly FADS Update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2026-02-09T16:47:18.967Z</dcterms:created>
  <dcterms:modified xsi:type="dcterms:W3CDTF">2026-02-09T16:47:18.967Z</dcterms:modified>
</cp:coreProperties>
</file>

<file path=docProps/custom.xml><?xml version="1.0" encoding="utf-8"?>
<Properties xmlns="http://schemas.openxmlformats.org/officeDocument/2006/custom-properties" xmlns:vt="http://schemas.openxmlformats.org/officeDocument/2006/docPropsVTypes"/>
</file>