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5B51" w14:textId="77777777" w:rsidR="00425DB9" w:rsidRDefault="00425DB9" w:rsidP="00425DB9">
      <w:r>
        <w:t>Keywords: Abfindung, Abfindungsrecht, Arbeitnehmerabfindung, Abfindungssteuer 2025, Abfindungsberechnung, Kündigungsentschädigung</w:t>
      </w:r>
    </w:p>
    <w:p w14:paraId="3BF103F3" w14:textId="77777777" w:rsidR="00425DB9" w:rsidRDefault="00425DB9" w:rsidP="00425DB9"/>
    <w:p w14:paraId="28314CBB" w14:textId="77777777" w:rsidR="00425DB9" w:rsidRDefault="00425DB9" w:rsidP="00425DB9">
      <w:r>
        <w:t>Meta-Description: Abfindungen im deutschen Arbeitsrecht: Neue Steuerregelungen 2025, Berechnung, Optimierung &amp; rechtliche Grundlagen für Arbeitnehmer.</w:t>
      </w:r>
    </w:p>
    <w:p w14:paraId="06597868" w14:textId="77777777" w:rsidR="00425DB9" w:rsidRDefault="00425DB9" w:rsidP="00425DB9"/>
    <w:p w14:paraId="4E7A7DB9" w14:textId="316CD26C" w:rsidR="001823CB" w:rsidRDefault="00425DB9" w:rsidP="00425DB9">
      <w:r>
        <w:t>Title-Tag: Abfindungen: Recht, Berechnung &amp; Steuer 2025</w:t>
      </w:r>
    </w:p>
    <w:sectPr w:rsidR="001823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FDE"/>
    <w:rsid w:val="001823CB"/>
    <w:rsid w:val="00354FDE"/>
    <w:rsid w:val="00425DB9"/>
    <w:rsid w:val="007E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ED8F69-90C2-4888-82EC-9932102DB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5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4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4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4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4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4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4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4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4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54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4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4FD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4FD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4F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4F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4F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4F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4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4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4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4F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4F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4F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4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4FD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4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293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Hahn</dc:creator>
  <cp:keywords/>
  <dc:description/>
  <cp:lastModifiedBy>Nicole Hahn</cp:lastModifiedBy>
  <cp:revision>2</cp:revision>
  <dcterms:created xsi:type="dcterms:W3CDTF">2026-04-04T17:08:00Z</dcterms:created>
  <dcterms:modified xsi:type="dcterms:W3CDTF">2026-04-04T17:08:00Z</dcterms:modified>
</cp:coreProperties>
</file>