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Düsseldorfer Tabelle</w:t>
      </w:r>
    </w:p>
    <w:p>
      <w:r>
        <w:rPr>
          <w:i/>
        </w:rPr>
        <w:t>Untertitel: Unterhaltsregelung aktualisiert: Neue Sätze 2026</w:t>
      </w:r>
    </w:p>
    <w:p>
      <w:pPr>
        <w:pStyle w:val="Heading2"/>
      </w:pPr>
      <w:r>
        <w:t>Keywords</w:t>
      </w:r>
    </w:p>
    <w:p>
      <w:r>
        <w:t>Düsseldorfer Tabelle 2026, Unterhaltsbedarfssätze, Kindesunterhalt, OLG Düsseldorf, Unterhaltsrichtlinie, Bedarfssätze Kinder</w:t>
      </w:r>
    </w:p>
    <w:p>
      <w:pPr>
        <w:pStyle w:val="Heading2"/>
      </w:pPr>
      <w:r>
        <w:t>Meta-Description</w:t>
      </w:r>
    </w:p>
    <w:p>
      <w:r>
        <w:t>Düsseldorfer Tabelle 2026 mit aktualisierten Unterhaltsbedarfssätzen für Kinder. Gültig ab 01.01.2026. Informationen vom OLG Düsseldorf.</w:t>
      </w:r>
    </w:p>
    <w:p>
      <w:pPr>
        <w:pStyle w:val="Heading2"/>
      </w:pPr>
      <w:r>
        <w:t>Title-Tag</w:t>
      </w:r>
    </w:p>
    <w:p>
      <w:r>
        <w:t>Düsseldorfer Tabelle 2026 - Unterhaltsbedarfssätze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