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F4A58" w14:textId="77777777" w:rsidR="00EB0C56" w:rsidRPr="00EB0C56" w:rsidRDefault="00EB0C56" w:rsidP="00EB0C56">
      <w:r w:rsidRPr="00EB0C56">
        <w:t># Abfindungen</w:t>
      </w:r>
    </w:p>
    <w:p w14:paraId="5DE3FF83" w14:textId="77777777" w:rsidR="00EB0C56" w:rsidRPr="00EB0C56" w:rsidRDefault="00EB0C56" w:rsidP="00EB0C56">
      <w:r w:rsidRPr="00EB0C56">
        <w:t>Abfindungen gehören zu den komplexesten Themen im deutschen Arbeitsrecht und werden durch die Änderungen der Steuergesetzgebung ab 2025 noch vielschichtiger. Arbeitnehmer sollten die neuen Regelungen kennen, um ihre Abfindung optimal zu gestalten. Die Auszahlung einer Abfindung kann durch Verständnis der rechtlichen Rahmenbedingungen und geschickte Planung optimiert werden. Diese Entschädigung für den Verlust des Arbeitsplatzes unterliegt zwar grundsätzlich der Steuerpflicht, bietet aber durch die sogenannte Fünftelregelung interessante Gestaltungsmöglichkeiten.</w:t>
      </w:r>
    </w:p>
    <w:p w14:paraId="0ECE33DD" w14:textId="77777777" w:rsidR="00EB0C56" w:rsidRPr="00EB0C56" w:rsidRDefault="00EB0C56" w:rsidP="00EB0C56">
      <w:pPr>
        <w:rPr>
          <w:b/>
          <w:bCs/>
        </w:rPr>
      </w:pPr>
      <w:r w:rsidRPr="00EB0C56">
        <w:rPr>
          <w:b/>
          <w:bCs/>
        </w:rPr>
        <w:t>Rechtliche Grundlagen und Anspruch auf Abfindungen</w:t>
      </w:r>
    </w:p>
    <w:p w14:paraId="17A84EA6" w14:textId="77777777" w:rsidR="00EB0C56" w:rsidRPr="00EB0C56" w:rsidRDefault="00EB0C56" w:rsidP="00EB0C56">
      <w:r w:rsidRPr="00EB0C56">
        <w:t>Ein gesetzlicher Anspruch auf Abfindungen besteht nicht automatisch. Ein Anspruch kann sich jedoch aus dem Arbeitsvertrag ergeben oder entsteht in der Regel als freiwillige Leistung zur Vorbeugung einer Kündigungsschutzklage. Die wichtigste Ausnahme bildet die betriebsbedingte Kündigung nach § 1a Kündigungsschutzgesetz (KSchG).</w:t>
      </w:r>
    </w:p>
    <w:p w14:paraId="2EDDF3F9" w14:textId="77777777" w:rsidR="00EB0C56" w:rsidRPr="00EB0C56" w:rsidRDefault="00EB0C56" w:rsidP="00EB0C56">
      <w:r w:rsidRPr="00EB0C56">
        <w:t>Kündigt der Arbeitgeber wegen dringender betrieblicher Erfordernisse nach § 1 Abs. 2 Satz 1 KSchG und erhebt der Arbeitnehmer bis zum Ablauf der Frist des § 4 Satz 1 KSchG keine Klage auf Feststellung, dass das Arbeitsverhältnis durch die Kündigung nicht aufgelöst ist, hat der Arbeitnehmer mit dem Ablauf der Kündigungsfrist Anspruch auf eine Abfindung. Der Anspruch setzt voraus, dass der Arbeitgeber in der Kündigungserklärung auf die dringenden betrieblichen Erfordernisse hinweist und darauf, dass der Arbeitnehmer bei Verstreichenlassen der Klagefrist die Abfindung beanspruchen kann. Die Höhe der Abfindung beträgt 0,5 Monatsverdienste für jedes Jahr des Bestehens des Arbeitsverhältnisses.</w:t>
      </w:r>
    </w:p>
    <w:p w14:paraId="13E55DBE" w14:textId="77777777" w:rsidR="00EB0C56" w:rsidRPr="00EB0C56" w:rsidRDefault="00EB0C56" w:rsidP="00EB0C56">
      <w:r w:rsidRPr="00EB0C56">
        <w:t>Abfindungsansprüche entstehen zudem häufig durch Sozialpläne, Tarifverträge oder als Ergebnis von Verhandlungen im Rahmen von Kündigungsschutzklagen. Unternehmen möchten das Risiko eines Gerichtsverfahrens vermeiden und bieten deshalb einen Aufhebungsvertrag mit einer Abfindung an. Sie können mit Ihrem Arbeitgeber über die Abfindungshöhe verhandeln.</w:t>
      </w:r>
    </w:p>
    <w:p w14:paraId="614A0409" w14:textId="77777777" w:rsidR="00EB0C56" w:rsidRPr="00EB0C56" w:rsidRDefault="00EB0C56" w:rsidP="00EB0C56">
      <w:pPr>
        <w:rPr>
          <w:b/>
          <w:bCs/>
        </w:rPr>
      </w:pPr>
      <w:r w:rsidRPr="00EB0C56">
        <w:rPr>
          <w:b/>
          <w:bCs/>
        </w:rPr>
        <w:t>Berechnung der Abfindungshöhe</w:t>
      </w:r>
    </w:p>
    <w:p w14:paraId="6F89A814" w14:textId="77777777" w:rsidR="00EB0C56" w:rsidRPr="00EB0C56" w:rsidRDefault="00EB0C56" w:rsidP="00EB0C56">
      <w:r w:rsidRPr="00EB0C56">
        <w:t>Die Höhe einer Abfindung variiert erheblich und hängt von mehreren Faktoren ab. In den meisten Fällen gelten Abfindungen in Höhe eines halben bis vollen Bruttomonatsgehaltes pro Arbeitsjahr als angemessen. Die genaue Höhe hängt von der Länge der Betriebszugehörigkeit, der Branche, der Unternehmensgröße und der Verhandlungssituation ab.</w:t>
      </w:r>
    </w:p>
    <w:p w14:paraId="0F020D2A" w14:textId="77777777" w:rsidR="00EB0C56" w:rsidRPr="00EB0C56" w:rsidRDefault="00EB0C56" w:rsidP="00EB0C56">
      <w:r w:rsidRPr="00EB0C56">
        <w:t>Die Standardformel lautet: Abfindung = 0,5 × Bruttomonatsgehalt × Jahre der Betriebszugehörigkeit. Bei der Berechnung der Betriebszugehörigkeit gilt: Ein Zeitraum von mehr als sechs Monaten wird auf ein volles Kalenderjahr gerundet.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gridCol w:w="2462"/>
        <w:gridCol w:w="2477"/>
      </w:tblGrid>
      <w:tr w:rsidR="00EB0C56" w:rsidRPr="00EB0C56" w14:paraId="1809EFEA" w14:textId="77777777">
        <w:trPr>
          <w:tblHeader/>
          <w:tblCellSpacing w:w="15" w:type="dxa"/>
        </w:trPr>
        <w:tc>
          <w:tcPr>
            <w:tcW w:w="0" w:type="auto"/>
            <w:vAlign w:val="center"/>
            <w:hideMark/>
          </w:tcPr>
          <w:p w14:paraId="5CBFCE83" w14:textId="77777777" w:rsidR="00EB0C56" w:rsidRPr="00EB0C56" w:rsidRDefault="00EB0C56" w:rsidP="00EB0C56">
            <w:pPr>
              <w:rPr>
                <w:b/>
                <w:bCs/>
              </w:rPr>
            </w:pPr>
            <w:r w:rsidRPr="00EB0C56">
              <w:rPr>
                <w:b/>
                <w:bCs/>
              </w:rPr>
              <w:t>Betriebszugehörigkeit</w:t>
            </w:r>
          </w:p>
        </w:tc>
        <w:tc>
          <w:tcPr>
            <w:tcW w:w="0" w:type="auto"/>
            <w:vAlign w:val="center"/>
            <w:hideMark/>
          </w:tcPr>
          <w:p w14:paraId="456251A7" w14:textId="77777777" w:rsidR="00EB0C56" w:rsidRPr="00EB0C56" w:rsidRDefault="00EB0C56" w:rsidP="00EB0C56">
            <w:pPr>
              <w:rPr>
                <w:b/>
                <w:bCs/>
              </w:rPr>
            </w:pPr>
            <w:r w:rsidRPr="00EB0C56">
              <w:rPr>
                <w:b/>
                <w:bCs/>
              </w:rPr>
              <w:t>Faustformel (0,5-Faktor)</w:t>
            </w:r>
          </w:p>
        </w:tc>
        <w:tc>
          <w:tcPr>
            <w:tcW w:w="0" w:type="auto"/>
            <w:vAlign w:val="center"/>
            <w:hideMark/>
          </w:tcPr>
          <w:p w14:paraId="67E35A3E" w14:textId="77777777" w:rsidR="00EB0C56" w:rsidRPr="00EB0C56" w:rsidRDefault="00EB0C56" w:rsidP="00EB0C56">
            <w:pPr>
              <w:rPr>
                <w:b/>
                <w:bCs/>
              </w:rPr>
            </w:pPr>
            <w:r w:rsidRPr="00EB0C56">
              <w:rPr>
                <w:b/>
                <w:bCs/>
              </w:rPr>
              <w:t>Mögliche Spanne</w:t>
            </w:r>
          </w:p>
        </w:tc>
      </w:tr>
      <w:tr w:rsidR="00EB0C56" w:rsidRPr="00EB0C56" w14:paraId="3BFA9C74" w14:textId="77777777">
        <w:trPr>
          <w:tblCellSpacing w:w="15" w:type="dxa"/>
        </w:trPr>
        <w:tc>
          <w:tcPr>
            <w:tcW w:w="0" w:type="auto"/>
            <w:vAlign w:val="center"/>
            <w:hideMark/>
          </w:tcPr>
          <w:p w14:paraId="5045B35B" w14:textId="77777777" w:rsidR="00EB0C56" w:rsidRPr="00EB0C56" w:rsidRDefault="00EB0C56" w:rsidP="00EB0C56">
            <w:r w:rsidRPr="00EB0C56">
              <w:t>5 Jahre</w:t>
            </w:r>
          </w:p>
        </w:tc>
        <w:tc>
          <w:tcPr>
            <w:tcW w:w="0" w:type="auto"/>
            <w:vAlign w:val="center"/>
            <w:hideMark/>
          </w:tcPr>
          <w:p w14:paraId="1CFE919D" w14:textId="77777777" w:rsidR="00EB0C56" w:rsidRPr="00EB0C56" w:rsidRDefault="00EB0C56" w:rsidP="00EB0C56">
            <w:r w:rsidRPr="00EB0C56">
              <w:t>2,5 Monatsgehälter</w:t>
            </w:r>
          </w:p>
        </w:tc>
        <w:tc>
          <w:tcPr>
            <w:tcW w:w="0" w:type="auto"/>
            <w:vAlign w:val="center"/>
            <w:hideMark/>
          </w:tcPr>
          <w:p w14:paraId="6D24E88F" w14:textId="77777777" w:rsidR="00EB0C56" w:rsidRPr="00EB0C56" w:rsidRDefault="00EB0C56" w:rsidP="00EB0C56">
            <w:r w:rsidRPr="00EB0C56">
              <w:t>2,5 - 7,5 Monatsgehälter</w:t>
            </w:r>
          </w:p>
        </w:tc>
      </w:tr>
      <w:tr w:rsidR="00EB0C56" w:rsidRPr="00EB0C56" w14:paraId="162C260D" w14:textId="77777777">
        <w:trPr>
          <w:tblCellSpacing w:w="15" w:type="dxa"/>
        </w:trPr>
        <w:tc>
          <w:tcPr>
            <w:tcW w:w="0" w:type="auto"/>
            <w:vAlign w:val="center"/>
            <w:hideMark/>
          </w:tcPr>
          <w:p w14:paraId="1850D434" w14:textId="77777777" w:rsidR="00EB0C56" w:rsidRPr="00EB0C56" w:rsidRDefault="00EB0C56" w:rsidP="00EB0C56">
            <w:r w:rsidRPr="00EB0C56">
              <w:t>10 Jahre</w:t>
            </w:r>
          </w:p>
        </w:tc>
        <w:tc>
          <w:tcPr>
            <w:tcW w:w="0" w:type="auto"/>
            <w:vAlign w:val="center"/>
            <w:hideMark/>
          </w:tcPr>
          <w:p w14:paraId="6FE97BFF" w14:textId="77777777" w:rsidR="00EB0C56" w:rsidRPr="00EB0C56" w:rsidRDefault="00EB0C56" w:rsidP="00EB0C56">
            <w:r w:rsidRPr="00EB0C56">
              <w:t>5 Monatsgehälter</w:t>
            </w:r>
          </w:p>
        </w:tc>
        <w:tc>
          <w:tcPr>
            <w:tcW w:w="0" w:type="auto"/>
            <w:vAlign w:val="center"/>
            <w:hideMark/>
          </w:tcPr>
          <w:p w14:paraId="6B46CCD0" w14:textId="77777777" w:rsidR="00EB0C56" w:rsidRPr="00EB0C56" w:rsidRDefault="00EB0C56" w:rsidP="00EB0C56">
            <w:r w:rsidRPr="00EB0C56">
              <w:t>5 - 15 Monatsgehälter</w:t>
            </w:r>
          </w:p>
        </w:tc>
      </w:tr>
      <w:tr w:rsidR="00EB0C56" w:rsidRPr="00EB0C56" w14:paraId="226C7DF2" w14:textId="77777777">
        <w:trPr>
          <w:tblCellSpacing w:w="15" w:type="dxa"/>
        </w:trPr>
        <w:tc>
          <w:tcPr>
            <w:tcW w:w="0" w:type="auto"/>
            <w:vAlign w:val="center"/>
            <w:hideMark/>
          </w:tcPr>
          <w:p w14:paraId="36BC7626" w14:textId="77777777" w:rsidR="00EB0C56" w:rsidRPr="00EB0C56" w:rsidRDefault="00EB0C56" w:rsidP="00EB0C56">
            <w:r w:rsidRPr="00EB0C56">
              <w:t>15 Jahre</w:t>
            </w:r>
          </w:p>
        </w:tc>
        <w:tc>
          <w:tcPr>
            <w:tcW w:w="0" w:type="auto"/>
            <w:vAlign w:val="center"/>
            <w:hideMark/>
          </w:tcPr>
          <w:p w14:paraId="770D56D5" w14:textId="77777777" w:rsidR="00EB0C56" w:rsidRPr="00EB0C56" w:rsidRDefault="00EB0C56" w:rsidP="00EB0C56">
            <w:r w:rsidRPr="00EB0C56">
              <w:t>7,5 Monatsgehälter</w:t>
            </w:r>
          </w:p>
        </w:tc>
        <w:tc>
          <w:tcPr>
            <w:tcW w:w="0" w:type="auto"/>
            <w:vAlign w:val="center"/>
            <w:hideMark/>
          </w:tcPr>
          <w:p w14:paraId="55C93113" w14:textId="77777777" w:rsidR="00EB0C56" w:rsidRPr="00EB0C56" w:rsidRDefault="00EB0C56" w:rsidP="00EB0C56">
            <w:r w:rsidRPr="00EB0C56">
              <w:t>7,5 - 22,5 Monatsgehälter</w:t>
            </w:r>
          </w:p>
        </w:tc>
      </w:tr>
      <w:tr w:rsidR="00EB0C56" w:rsidRPr="00EB0C56" w14:paraId="69F9D9F5" w14:textId="77777777">
        <w:trPr>
          <w:tblCellSpacing w:w="15" w:type="dxa"/>
        </w:trPr>
        <w:tc>
          <w:tcPr>
            <w:tcW w:w="0" w:type="auto"/>
            <w:vAlign w:val="center"/>
            <w:hideMark/>
          </w:tcPr>
          <w:p w14:paraId="372870CD" w14:textId="77777777" w:rsidR="00EB0C56" w:rsidRPr="00EB0C56" w:rsidRDefault="00EB0C56" w:rsidP="00EB0C56">
            <w:r w:rsidRPr="00EB0C56">
              <w:t>20 Jahre</w:t>
            </w:r>
          </w:p>
        </w:tc>
        <w:tc>
          <w:tcPr>
            <w:tcW w:w="0" w:type="auto"/>
            <w:vAlign w:val="center"/>
            <w:hideMark/>
          </w:tcPr>
          <w:p w14:paraId="257C31AE" w14:textId="77777777" w:rsidR="00EB0C56" w:rsidRPr="00EB0C56" w:rsidRDefault="00EB0C56" w:rsidP="00EB0C56">
            <w:r w:rsidRPr="00EB0C56">
              <w:t>10 Monatsgehälter</w:t>
            </w:r>
          </w:p>
        </w:tc>
        <w:tc>
          <w:tcPr>
            <w:tcW w:w="0" w:type="auto"/>
            <w:vAlign w:val="center"/>
            <w:hideMark/>
          </w:tcPr>
          <w:p w14:paraId="288AA572" w14:textId="77777777" w:rsidR="00EB0C56" w:rsidRPr="00EB0C56" w:rsidRDefault="00EB0C56" w:rsidP="00EB0C56">
            <w:r w:rsidRPr="00EB0C56">
              <w:t>10 - 30 Monatsgehälter</w:t>
            </w:r>
          </w:p>
        </w:tc>
      </w:tr>
    </w:tbl>
    <w:p w14:paraId="312B7A26" w14:textId="77777777" w:rsidR="00EB0C56" w:rsidRPr="00EB0C56" w:rsidRDefault="00EB0C56" w:rsidP="00EB0C56">
      <w:r w:rsidRPr="00EB0C56">
        <w:t xml:space="preserve">Die Faustformel basiert auf 0,5 Bruttomonatsgehältern pro Jahr, wobei in der Praxis oft höhere Beträge erzielt werden. Faktoren von 1,0 oder 1,5 statt 0,5 sind nicht ungewöhnlich, in </w:t>
      </w:r>
      <w:r w:rsidRPr="00EB0C56">
        <w:lastRenderedPageBreak/>
        <w:t>Einzelfällen sogar bis zu 2,5. Die tatsächliche Höhe wird hauptsächlich durch die Erfolgsaussichten einer möglichen Kündigungsschutzklage beeinflusst. Bei einer betriebsbedingten Kündigung besteht eine höhere Wahrscheinlichkeit, dass die Kündigung rechtlich anfechtbar ist, als bei verhaltensbedingten Kündigungen. Je wahrscheinlicher es ist, dass die ausgesprochene Kündigung rechtswidrig sein könnte, desto besser ist Ihre Verhandlungsposition.</w:t>
      </w:r>
    </w:p>
    <w:p w14:paraId="6BF9DE17" w14:textId="77777777" w:rsidR="00EB0C56" w:rsidRPr="00EB0C56" w:rsidRDefault="00EB0C56" w:rsidP="00EB0C56">
      <w:pPr>
        <w:rPr>
          <w:b/>
          <w:bCs/>
        </w:rPr>
      </w:pPr>
      <w:r w:rsidRPr="00EB0C56">
        <w:rPr>
          <w:b/>
          <w:bCs/>
        </w:rPr>
        <w:t>Die neue Fünftelregelung ab 2025</w:t>
      </w:r>
    </w:p>
    <w:p w14:paraId="6BCA13D6" w14:textId="77777777" w:rsidR="00EB0C56" w:rsidRPr="00EB0C56" w:rsidRDefault="00EB0C56" w:rsidP="00EB0C56">
      <w:r w:rsidRPr="00EB0C56">
        <w:t>Die wichtigste Änderung für Abfindungsempfänger betrifft die steuerliche Behandlung. Ab 1. Januar 2025 entfällt die Anwendung der Fünftelregelung im Lohnsteuerabzugsverfahren durch den Arbeitgeber. Diese Änderung hat erhebliche praktische Auswirkungen auf die Liquidität der Betroffenen.</w:t>
      </w:r>
    </w:p>
    <w:p w14:paraId="4267DFC5" w14:textId="77777777" w:rsidR="00EB0C56" w:rsidRPr="00EB0C56" w:rsidRDefault="00EB0C56" w:rsidP="00EB0C56">
      <w:r w:rsidRPr="00EB0C56">
        <w:t>Bis Ende 2024 konnten Arbeitgeber die Fünftelregelung direkt bei der Auszahlung der Abfindung anwenden und entsprechend weniger Lohnsteuer einbehalten. Ab 2025 müssen Arbeitgeber die Abfindung zunächst mit dem allgemeinen Steuertarif versteuern. Die Anwendung der Fünftelregelung erfolgt erst im Rahmen der Einkommensteuerveranlagung durch das Finanzamt.</w:t>
      </w:r>
    </w:p>
    <w:p w14:paraId="2600591E" w14:textId="77777777" w:rsidR="00EB0C56" w:rsidRPr="00EB0C56" w:rsidRDefault="00EB0C56" w:rsidP="00EB0C56">
      <w:r w:rsidRPr="00EB0C56">
        <w:t>Die Funktionsweise der Fünftelregelung bleibt unverändert: Sie ist eine steuerliche Vergünstigung für außerordentliche Einkünfte wie Abfindungen. Sie berechnet die Steuer so, als ob die Abfindung gleichmäßig auf fünf Jahre verteilt wäre. Dadurch wird die Steuerprogression abgemildert und die Steuerlast sinkt.</w:t>
      </w:r>
    </w:p>
    <w:p w14:paraId="7667917D" w14:textId="77777777" w:rsidR="00EB0C56" w:rsidRPr="00EB0C56" w:rsidRDefault="00EB0C56" w:rsidP="00EB0C56">
      <w:r w:rsidRPr="00EB0C56">
        <w:t>Die Berechnung erfolgt in mehreren Schritten: Die Abfindung wird durch 5 geteilt und dieser Teil dem regulären Jahreseinkommen zugeschlagen. Dann wird die Differenz zwischen der Steuer mit und ohne das Fünftel der Abfindung ermittelt und mit 5 multipliziert.</w:t>
      </w:r>
    </w:p>
    <w:p w14:paraId="7E454E16" w14:textId="77777777" w:rsidR="00EB0C56" w:rsidRPr="00EB0C56" w:rsidRDefault="00EB0C56" w:rsidP="00EB0C56">
      <w:pPr>
        <w:rPr>
          <w:b/>
          <w:bCs/>
        </w:rPr>
      </w:pPr>
      <w:r w:rsidRPr="00EB0C56">
        <w:rPr>
          <w:b/>
          <w:bCs/>
        </w:rPr>
        <w:t>Praktische Auswirkungen und Optimierungsstrategien</w:t>
      </w:r>
    </w:p>
    <w:p w14:paraId="43D18E90" w14:textId="77777777" w:rsidR="00EB0C56" w:rsidRPr="00EB0C56" w:rsidRDefault="00EB0C56" w:rsidP="00EB0C56">
      <w:r w:rsidRPr="00EB0C56">
        <w:t>Die Änderungen ab 2025 führen zu einem temporären Liquiditätsnachteil. Der Arbeitgeber führt zunächst einen höheren Lohnsteuerabzug durch. Die steuerliche Entlastung durch die Fünftelregelung erfolgt erst mit der Einkommensteuerveranlagung. Arbeitnehmer müssen die Fünftelregelung über ihre Steuererklärung selbst geltend machen.</w:t>
      </w:r>
    </w:p>
    <w:p w14:paraId="59570BCB" w14:textId="77777777" w:rsidR="00EB0C56" w:rsidRPr="00EB0C56" w:rsidRDefault="00EB0C56" w:rsidP="00EB0C56">
      <w:r w:rsidRPr="00EB0C56">
        <w:t>Zur Steueroptimierung stehen verschiedene Strategien zur Verfügung:</w:t>
      </w:r>
    </w:p>
    <w:p w14:paraId="7B6C50A5" w14:textId="77777777" w:rsidR="00EB0C56" w:rsidRPr="00EB0C56" w:rsidRDefault="00EB0C56" w:rsidP="00EB0C56">
      <w:r w:rsidRPr="00EB0C56">
        <w:rPr>
          <w:b/>
          <w:bCs/>
        </w:rPr>
        <w:t>Zeitliche Gestaltung:</w:t>
      </w:r>
      <w:r w:rsidRPr="00EB0C56">
        <w:t xml:space="preserve"> Wenn Sie beispielsweise gegen Jahresende gekündigt werden, kann es sinnvoll sein, die Abfindung ins folgende Jahr zu verschieben, besonders wenn Sie dort mit einem geringeren Einkommen rechnen.</w:t>
      </w:r>
    </w:p>
    <w:p w14:paraId="055ECB59" w14:textId="77777777" w:rsidR="00EB0C56" w:rsidRPr="00EB0C56" w:rsidRDefault="00EB0C56" w:rsidP="00EB0C56">
      <w:r w:rsidRPr="00EB0C56">
        <w:rPr>
          <w:b/>
          <w:bCs/>
        </w:rPr>
        <w:t>Investitionsabzugsbetrag:</w:t>
      </w:r>
      <w:r w:rsidRPr="00EB0C56">
        <w:t xml:space="preserve"> Der Investitionsabzugsbetrag (§ 7g EStG) ermöglicht es, bis zu 50 % der geplanten Anschaffungskosten eines Wirtschaftsguts – etwa einer Photovoltaikanlage – vorab als Betriebsausgabe abzuziehen. Dadurch sinkt das zu versteuernde Einkommen, was in Kombination mit der Fünftelregelung die Steuerlast auf die Abfindung reduzieren kann.</w:t>
      </w:r>
    </w:p>
    <w:p w14:paraId="20ABBD1F" w14:textId="77777777" w:rsidR="00EB0C56" w:rsidRPr="00EB0C56" w:rsidRDefault="00EB0C56" w:rsidP="00EB0C56">
      <w:r w:rsidRPr="00EB0C56">
        <w:rPr>
          <w:b/>
          <w:bCs/>
        </w:rPr>
        <w:t>Veranlagungsart bei Ehepartnern:</w:t>
      </w:r>
      <w:r w:rsidRPr="00EB0C56">
        <w:t xml:space="preserve"> Bei der Zusammenveranlagung (Splittingtarif) wird das gemeinsame Einkommen halbiert, besteuert und verdoppelt. Das kann bei großen Einkommensunterschieden vorteilhaft sein. Bei einer hohen Abfindung kann jedoch eine Einzelveranlagung günstiger sein, da die Fünftelregelung bei niedrigerem Basiseinkommen stärker wirkt.</w:t>
      </w:r>
    </w:p>
    <w:p w14:paraId="7783130B" w14:textId="77777777" w:rsidR="00EB0C56" w:rsidRPr="00EB0C56" w:rsidRDefault="00EB0C56" w:rsidP="00EB0C56">
      <w:pPr>
        <w:rPr>
          <w:b/>
          <w:bCs/>
        </w:rPr>
      </w:pPr>
      <w:r w:rsidRPr="00EB0C56">
        <w:rPr>
          <w:b/>
          <w:bCs/>
        </w:rPr>
        <w:t>Sozialversicherung und weitere Überlegungen</w:t>
      </w:r>
    </w:p>
    <w:p w14:paraId="7A7E8374" w14:textId="77777777" w:rsidR="00EB0C56" w:rsidRPr="00EB0C56" w:rsidRDefault="00EB0C56" w:rsidP="00EB0C56">
      <w:r w:rsidRPr="00EB0C56">
        <w:lastRenderedPageBreak/>
        <w:t>Ein wichtiger Vorteil von Abfindungen: Auf Abfindungen fallen in der Regel keine Sozialversicherungsbeiträge an. Eine Ausnahme besteht, wenn Sie sich nach Ihrem Ausscheiden freiwillig gesetzlich versichern und der Arbeitslosengeldanspruch ruht, etwa weil die Agentur für Arbeit eine Sperrzeit verhängt hat. In diesem Fall werden Beiträge zur gesetzlichen Kranken- und Pflegeversicherung erhoben.</w:t>
      </w:r>
    </w:p>
    <w:p w14:paraId="62860016" w14:textId="77777777" w:rsidR="00EB0C56" w:rsidRPr="00EB0C56" w:rsidRDefault="00EB0C56" w:rsidP="00EB0C56">
      <w:r w:rsidRPr="00EB0C56">
        <w:t>Bei Aufhebungsverträgen droht grundsätzlich eine Sperrzeit beim Arbeitslosengeld. Unterzeichnen Sie einen Aufhebungsvertrag aber mit wichtigem Grund, etwa weil Sie ansonsten eine betriebsbedingte Kündigung erhalten hätten, entfällt die Sperrzeit. Dies sollte im Aufhebungsvertrag klar formuliert sein.</w:t>
      </w:r>
    </w:p>
    <w:p w14:paraId="49BE2B13" w14:textId="77777777" w:rsidR="00EB0C56" w:rsidRPr="00EB0C56" w:rsidRDefault="00EB0C56" w:rsidP="00EB0C56">
      <w:pPr>
        <w:rPr>
          <w:b/>
          <w:bCs/>
        </w:rPr>
      </w:pPr>
      <w:r w:rsidRPr="00EB0C56">
        <w:rPr>
          <w:b/>
          <w:bCs/>
        </w:rPr>
        <w:t>Fazit</w:t>
      </w:r>
    </w:p>
    <w:p w14:paraId="1F876500" w14:textId="77777777" w:rsidR="00EB0C56" w:rsidRPr="00EB0C56" w:rsidRDefault="00EB0C56" w:rsidP="00EB0C56">
      <w:r w:rsidRPr="00EB0C56">
        <w:t>Abfindungen bleiben trotz der steuerlichen Änderungen ein wichtiges Instrument für faire Trennungen im Arbeitsverhältnis. Die neue Regelung ab 2025 erfordert mehr Eigeninitiative und führt zu temporären Liquiditätsnachteilen, die steuerlichen Vorteile der Fünftelregelung bleiben aber vollständig erhalten. Die praktische Umsetzung verlagert sich ab 2025 vom Arbeitgeber auf den Arbeitnehmer und das Finanzamt, was mehr Eigeninitiative bei der steuerlichen Behandlung erfordert. Bei höheren Abfindungssummen empfiehlt sich die Konsultation eines Steuerberaters, um die optimale Strategie zu entwickeln und alle verfügbaren Gestaltungsmöglichkeiten auszuschöpfen. Die Kombination aus rechtlicher und steuerlicher Beratung kann die Nettoauszahlung einer Abfindung erheblich maximieren.</w:t>
      </w:r>
    </w:p>
    <w:p w14:paraId="4DFB4D26" w14:textId="77777777" w:rsidR="001823CB" w:rsidRDefault="001823CB"/>
    <w:sectPr w:rsidR="001823C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940"/>
    <w:rsid w:val="001823CB"/>
    <w:rsid w:val="007E394E"/>
    <w:rsid w:val="00CB6940"/>
    <w:rsid w:val="00EB0C5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84C3E0-3810-484F-B037-105C4B388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B69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B69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B694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B694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B694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B694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B694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B694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B694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B694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B694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B694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B694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B694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B694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B694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B694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B6940"/>
    <w:rPr>
      <w:rFonts w:eastAsiaTheme="majorEastAsia" w:cstheme="majorBidi"/>
      <w:color w:val="272727" w:themeColor="text1" w:themeTint="D8"/>
    </w:rPr>
  </w:style>
  <w:style w:type="paragraph" w:styleId="Titel">
    <w:name w:val="Title"/>
    <w:basedOn w:val="Standard"/>
    <w:next w:val="Standard"/>
    <w:link w:val="TitelZchn"/>
    <w:uiPriority w:val="10"/>
    <w:qFormat/>
    <w:rsid w:val="00CB6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B694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B694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B694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B694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B6940"/>
    <w:rPr>
      <w:i/>
      <w:iCs/>
      <w:color w:val="404040" w:themeColor="text1" w:themeTint="BF"/>
    </w:rPr>
  </w:style>
  <w:style w:type="paragraph" w:styleId="Listenabsatz">
    <w:name w:val="List Paragraph"/>
    <w:basedOn w:val="Standard"/>
    <w:uiPriority w:val="34"/>
    <w:qFormat/>
    <w:rsid w:val="00CB6940"/>
    <w:pPr>
      <w:ind w:left="720"/>
      <w:contextualSpacing/>
    </w:pPr>
  </w:style>
  <w:style w:type="character" w:styleId="IntensiveHervorhebung">
    <w:name w:val="Intense Emphasis"/>
    <w:basedOn w:val="Absatz-Standardschriftart"/>
    <w:uiPriority w:val="21"/>
    <w:qFormat/>
    <w:rsid w:val="00CB6940"/>
    <w:rPr>
      <w:i/>
      <w:iCs/>
      <w:color w:val="0F4761" w:themeColor="accent1" w:themeShade="BF"/>
    </w:rPr>
  </w:style>
  <w:style w:type="paragraph" w:styleId="IntensivesZitat">
    <w:name w:val="Intense Quote"/>
    <w:basedOn w:val="Standard"/>
    <w:next w:val="Standard"/>
    <w:link w:val="IntensivesZitatZchn"/>
    <w:uiPriority w:val="30"/>
    <w:qFormat/>
    <w:rsid w:val="00CB69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B6940"/>
    <w:rPr>
      <w:i/>
      <w:iCs/>
      <w:color w:val="0F4761" w:themeColor="accent1" w:themeShade="BF"/>
    </w:rPr>
  </w:style>
  <w:style w:type="character" w:styleId="IntensiverVerweis">
    <w:name w:val="Intense Reference"/>
    <w:basedOn w:val="Absatz-Standardschriftart"/>
    <w:uiPriority w:val="32"/>
    <w:qFormat/>
    <w:rsid w:val="00CB69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1050</Words>
  <Characters>6622</Characters>
  <Application>Microsoft Office Word</Application>
  <DocSecurity>0</DocSecurity>
  <Lines>55</Lines>
  <Paragraphs>15</Paragraphs>
  <ScaleCrop>false</ScaleCrop>
  <Company/>
  <LinksUpToDate>false</LinksUpToDate>
  <CharactersWithSpaces>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Hahn</dc:creator>
  <cp:keywords/>
  <dc:description/>
  <cp:lastModifiedBy>Nicole Hahn</cp:lastModifiedBy>
  <cp:revision>2</cp:revision>
  <dcterms:created xsi:type="dcterms:W3CDTF">2026-04-04T17:08:00Z</dcterms:created>
  <dcterms:modified xsi:type="dcterms:W3CDTF">2026-04-04T17:08:00Z</dcterms:modified>
</cp:coreProperties>
</file>