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A440" w14:textId="77777777" w:rsidR="00424F8F" w:rsidRPr="00424F8F" w:rsidRDefault="00424F8F" w:rsidP="00424F8F">
      <w:r w:rsidRPr="00424F8F">
        <w:t># Aktien</w:t>
      </w:r>
    </w:p>
    <w:p w14:paraId="18250132" w14:textId="77777777" w:rsidR="00424F8F" w:rsidRPr="00424F8F" w:rsidRDefault="00424F8F" w:rsidP="00424F8F">
      <w:r w:rsidRPr="00424F8F">
        <w:t>Aktien bilden das Fundament vieler Anlagestrategien und gelten als eine der erfolgreichsten Anlageklassen für den langfristigen Vermögensaufbau. Als Anteile an Unternehmen bieten sie Chancen auf Wertsteigerungen und Dividendenausschüttungen, tragen aber auch das Risiko von Kursschwankungen. Für Privatanleger stellt sich daher die Frage: Wie lassen sich die Renditepotenziale nutzen und welche steuerlichen Aspekte müssen berücksichtigt werden?</w:t>
      </w:r>
    </w:p>
    <w:p w14:paraId="5EAB9BC0" w14:textId="77777777" w:rsidR="00424F8F" w:rsidRPr="00424F8F" w:rsidRDefault="00424F8F" w:rsidP="00424F8F">
      <w:pPr>
        <w:rPr>
          <w:b/>
          <w:bCs/>
        </w:rPr>
      </w:pPr>
      <w:r w:rsidRPr="00424F8F">
        <w:rPr>
          <w:b/>
          <w:bCs/>
        </w:rPr>
        <w:t>Was Aktien als Anlageklasse auszeichnet</w:t>
      </w:r>
    </w:p>
    <w:p w14:paraId="7883049D" w14:textId="77777777" w:rsidR="00424F8F" w:rsidRPr="00424F8F" w:rsidRDefault="00424F8F" w:rsidP="00424F8F">
      <w:r w:rsidRPr="00424F8F">
        <w:t>Aktien gehören zu den klassischen Anlageklassen und weisen als Gruppe von Finanzprodukten gemeinsame Merkmale auf. Je nach diesen Merkmalen unterscheidet sich das Verhältnis von Chancen und Risiken und damit ihre Rendite. Als Aktieninhaberin werden Sie Miteigentümerin des Unternehmens und haften in Höhe Ihrer Einlage. Da Ihre Investition als Eigenkapital behandelt wird, werden Sie bei einer Insolvenz nachrangig ausgezahlt.</w:t>
      </w:r>
    </w:p>
    <w:p w14:paraId="55550281" w14:textId="77777777" w:rsidR="00424F8F" w:rsidRPr="00424F8F" w:rsidRDefault="00424F8F" w:rsidP="00424F8F">
      <w:r w:rsidRPr="00424F8F">
        <w:t>Aktien weisen langfristig die höchste zu erwartende Rendite aller Anlageklassen aus. Dementsprechend hoch ist ihr Risiko. Diese Risikoprämie entsteht, weil Aktionäre als Eigenkapitalgeber im Krisenfall schlechtere Chancen auf Rückzahlungen haben als Gläubiger von Anleihen. Sie bieten langfristig hohe Renditechancen, unterliegen jedoch kurzfristigen Schwankungen.</w:t>
      </w:r>
    </w:p>
    <w:p w14:paraId="394DF84A" w14:textId="77777777" w:rsidR="00424F8F" w:rsidRPr="00424F8F" w:rsidRDefault="00424F8F" w:rsidP="00424F8F">
      <w:r w:rsidRPr="00424F8F">
        <w:t>Die Volatilität zeigt sich besonders deutlich in Krisenzeiten. Historische Daten belegen jedoch die langfristige Überlegenheit von Aktien: Über einen Betrachtungszeitraum von 122 Jahren hinweg erzielten Aktien durchschnittlich eine Rendite, die etwa doppelt so hoch war wie die von Immobilien und deutlich höher als die Rendite von Staatsanleihen oder Gold. Aktien haben sich somit als die leistungsfähigste Anlageklasse erwiesen, wenn es darum geht, Kapital langfristig zu vermehren.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722"/>
        <w:gridCol w:w="3331"/>
      </w:tblGrid>
      <w:tr w:rsidR="00424F8F" w:rsidRPr="00424F8F" w14:paraId="74C19245" w14:textId="77777777">
        <w:trPr>
          <w:tblHeader/>
          <w:tblCellSpacing w:w="15" w:type="dxa"/>
        </w:trPr>
        <w:tc>
          <w:tcPr>
            <w:tcW w:w="0" w:type="auto"/>
            <w:vAlign w:val="center"/>
            <w:hideMark/>
          </w:tcPr>
          <w:p w14:paraId="7F3AF829" w14:textId="77777777" w:rsidR="00424F8F" w:rsidRPr="00424F8F" w:rsidRDefault="00424F8F" w:rsidP="00424F8F">
            <w:pPr>
              <w:rPr>
                <w:b/>
                <w:bCs/>
              </w:rPr>
            </w:pPr>
            <w:r w:rsidRPr="00424F8F">
              <w:rPr>
                <w:b/>
                <w:bCs/>
              </w:rPr>
              <w:t>Aktien-Merkmal</w:t>
            </w:r>
          </w:p>
        </w:tc>
        <w:tc>
          <w:tcPr>
            <w:tcW w:w="0" w:type="auto"/>
            <w:vAlign w:val="center"/>
            <w:hideMark/>
          </w:tcPr>
          <w:p w14:paraId="144F2F76" w14:textId="77777777" w:rsidR="00424F8F" w:rsidRPr="00424F8F" w:rsidRDefault="00424F8F" w:rsidP="00424F8F">
            <w:pPr>
              <w:rPr>
                <w:b/>
                <w:bCs/>
              </w:rPr>
            </w:pPr>
            <w:r w:rsidRPr="00424F8F">
              <w:rPr>
                <w:b/>
                <w:bCs/>
              </w:rPr>
              <w:t>Eigenschaft</w:t>
            </w:r>
          </w:p>
        </w:tc>
        <w:tc>
          <w:tcPr>
            <w:tcW w:w="0" w:type="auto"/>
            <w:vAlign w:val="center"/>
            <w:hideMark/>
          </w:tcPr>
          <w:p w14:paraId="3CDC915E" w14:textId="77777777" w:rsidR="00424F8F" w:rsidRPr="00424F8F" w:rsidRDefault="00424F8F" w:rsidP="00424F8F">
            <w:pPr>
              <w:rPr>
                <w:b/>
                <w:bCs/>
              </w:rPr>
            </w:pPr>
            <w:r w:rsidRPr="00424F8F">
              <w:rPr>
                <w:b/>
                <w:bCs/>
              </w:rPr>
              <w:t>Auswirkung</w:t>
            </w:r>
          </w:p>
        </w:tc>
      </w:tr>
      <w:tr w:rsidR="00424F8F" w:rsidRPr="00424F8F" w14:paraId="691D6085" w14:textId="77777777">
        <w:trPr>
          <w:tblCellSpacing w:w="15" w:type="dxa"/>
        </w:trPr>
        <w:tc>
          <w:tcPr>
            <w:tcW w:w="0" w:type="auto"/>
            <w:vAlign w:val="center"/>
            <w:hideMark/>
          </w:tcPr>
          <w:p w14:paraId="41155A13" w14:textId="77777777" w:rsidR="00424F8F" w:rsidRPr="00424F8F" w:rsidRDefault="00424F8F" w:rsidP="00424F8F">
            <w:r w:rsidRPr="00424F8F">
              <w:t>Risiko-Rendite-Profil</w:t>
            </w:r>
          </w:p>
        </w:tc>
        <w:tc>
          <w:tcPr>
            <w:tcW w:w="0" w:type="auto"/>
            <w:vAlign w:val="center"/>
            <w:hideMark/>
          </w:tcPr>
          <w:p w14:paraId="6B2D723A" w14:textId="77777777" w:rsidR="00424F8F" w:rsidRPr="00424F8F" w:rsidRDefault="00424F8F" w:rsidP="00424F8F">
            <w:r w:rsidRPr="00424F8F">
              <w:t>Hohe potenzielle Rendite, hohes Risiko</w:t>
            </w:r>
          </w:p>
        </w:tc>
        <w:tc>
          <w:tcPr>
            <w:tcW w:w="0" w:type="auto"/>
            <w:vAlign w:val="center"/>
            <w:hideMark/>
          </w:tcPr>
          <w:p w14:paraId="4984076B" w14:textId="77777777" w:rsidR="00424F8F" w:rsidRPr="00424F8F" w:rsidRDefault="00424F8F" w:rsidP="00424F8F">
            <w:r w:rsidRPr="00424F8F">
              <w:t>Langfristig beste Renditechancen</w:t>
            </w:r>
          </w:p>
        </w:tc>
      </w:tr>
      <w:tr w:rsidR="00424F8F" w:rsidRPr="00424F8F" w14:paraId="5BAB0957" w14:textId="77777777">
        <w:trPr>
          <w:tblCellSpacing w:w="15" w:type="dxa"/>
        </w:trPr>
        <w:tc>
          <w:tcPr>
            <w:tcW w:w="0" w:type="auto"/>
            <w:vAlign w:val="center"/>
            <w:hideMark/>
          </w:tcPr>
          <w:p w14:paraId="270CC78D" w14:textId="77777777" w:rsidR="00424F8F" w:rsidRPr="00424F8F" w:rsidRDefault="00424F8F" w:rsidP="00424F8F">
            <w:r w:rsidRPr="00424F8F">
              <w:t>Liquidität</w:t>
            </w:r>
          </w:p>
        </w:tc>
        <w:tc>
          <w:tcPr>
            <w:tcW w:w="0" w:type="auto"/>
            <w:vAlign w:val="center"/>
            <w:hideMark/>
          </w:tcPr>
          <w:p w14:paraId="30504204" w14:textId="77777777" w:rsidR="00424F8F" w:rsidRPr="00424F8F" w:rsidRDefault="00424F8F" w:rsidP="00424F8F">
            <w:r w:rsidRPr="00424F8F">
              <w:t>Sehr hoch an Börsen</w:t>
            </w:r>
          </w:p>
        </w:tc>
        <w:tc>
          <w:tcPr>
            <w:tcW w:w="0" w:type="auto"/>
            <w:vAlign w:val="center"/>
            <w:hideMark/>
          </w:tcPr>
          <w:p w14:paraId="12016C79" w14:textId="77777777" w:rsidR="00424F8F" w:rsidRPr="00424F8F" w:rsidRDefault="00424F8F" w:rsidP="00424F8F">
            <w:r w:rsidRPr="00424F8F">
              <w:t>Täglicher Handel möglich</w:t>
            </w:r>
          </w:p>
        </w:tc>
      </w:tr>
      <w:tr w:rsidR="00424F8F" w:rsidRPr="00424F8F" w14:paraId="4C865778" w14:textId="77777777">
        <w:trPr>
          <w:tblCellSpacing w:w="15" w:type="dxa"/>
        </w:trPr>
        <w:tc>
          <w:tcPr>
            <w:tcW w:w="0" w:type="auto"/>
            <w:vAlign w:val="center"/>
            <w:hideMark/>
          </w:tcPr>
          <w:p w14:paraId="4B922EF6" w14:textId="77777777" w:rsidR="00424F8F" w:rsidRPr="00424F8F" w:rsidRDefault="00424F8F" w:rsidP="00424F8F">
            <w:r w:rsidRPr="00424F8F">
              <w:t>Diversifikation</w:t>
            </w:r>
          </w:p>
        </w:tc>
        <w:tc>
          <w:tcPr>
            <w:tcW w:w="0" w:type="auto"/>
            <w:vAlign w:val="center"/>
            <w:hideMark/>
          </w:tcPr>
          <w:p w14:paraId="422083D6" w14:textId="77777777" w:rsidR="00424F8F" w:rsidRPr="00424F8F" w:rsidRDefault="00424F8F" w:rsidP="00424F8F">
            <w:r w:rsidRPr="00424F8F">
              <w:t>Breit möglich</w:t>
            </w:r>
          </w:p>
        </w:tc>
        <w:tc>
          <w:tcPr>
            <w:tcW w:w="0" w:type="auto"/>
            <w:vAlign w:val="center"/>
            <w:hideMark/>
          </w:tcPr>
          <w:p w14:paraId="746E74DE" w14:textId="77777777" w:rsidR="00424F8F" w:rsidRPr="00424F8F" w:rsidRDefault="00424F8F" w:rsidP="00424F8F">
            <w:r w:rsidRPr="00424F8F">
              <w:t>Risikoreduktion durch Streuung</w:t>
            </w:r>
          </w:p>
        </w:tc>
      </w:tr>
      <w:tr w:rsidR="00424F8F" w:rsidRPr="00424F8F" w14:paraId="2808C146" w14:textId="77777777">
        <w:trPr>
          <w:tblCellSpacing w:w="15" w:type="dxa"/>
        </w:trPr>
        <w:tc>
          <w:tcPr>
            <w:tcW w:w="0" w:type="auto"/>
            <w:vAlign w:val="center"/>
            <w:hideMark/>
          </w:tcPr>
          <w:p w14:paraId="58D662F2" w14:textId="77777777" w:rsidR="00424F8F" w:rsidRPr="00424F8F" w:rsidRDefault="00424F8F" w:rsidP="00424F8F">
            <w:r w:rsidRPr="00424F8F">
              <w:t>Volatilität</w:t>
            </w:r>
          </w:p>
        </w:tc>
        <w:tc>
          <w:tcPr>
            <w:tcW w:w="0" w:type="auto"/>
            <w:vAlign w:val="center"/>
            <w:hideMark/>
          </w:tcPr>
          <w:p w14:paraId="339EBB47" w14:textId="77777777" w:rsidR="00424F8F" w:rsidRPr="00424F8F" w:rsidRDefault="00424F8F" w:rsidP="00424F8F">
            <w:r w:rsidRPr="00424F8F">
              <w:t>Hoch</w:t>
            </w:r>
          </w:p>
        </w:tc>
        <w:tc>
          <w:tcPr>
            <w:tcW w:w="0" w:type="auto"/>
            <w:vAlign w:val="center"/>
            <w:hideMark/>
          </w:tcPr>
          <w:p w14:paraId="6B8352B4" w14:textId="77777777" w:rsidR="00424F8F" w:rsidRPr="00424F8F" w:rsidRDefault="00424F8F" w:rsidP="00424F8F">
            <w:r w:rsidRPr="00424F8F">
              <w:t>Kurzfristige Schwankungen normal</w:t>
            </w:r>
          </w:p>
        </w:tc>
      </w:tr>
    </w:tbl>
    <w:p w14:paraId="72EB53E6" w14:textId="77777777" w:rsidR="00424F8F" w:rsidRPr="00424F8F" w:rsidRDefault="00424F8F" w:rsidP="00424F8F">
      <w:pPr>
        <w:rPr>
          <w:b/>
          <w:bCs/>
        </w:rPr>
      </w:pPr>
      <w:r w:rsidRPr="00424F8F">
        <w:rPr>
          <w:b/>
          <w:bCs/>
        </w:rPr>
        <w:t>Diversifikation als Risikominderung</w:t>
      </w:r>
    </w:p>
    <w:p w14:paraId="48FE849B" w14:textId="77777777" w:rsidR="00424F8F" w:rsidRPr="00424F8F" w:rsidRDefault="00424F8F" w:rsidP="00424F8F">
      <w:r w:rsidRPr="00424F8F">
        <w:t>Aktien gelten als risikoreich, aber renditestark. Bei Aktienanlagen können Sie Ihr Risiko reduzieren, indem Sie in einen Aktienfonds oder in ETFs investieren anstatt in Einzelaktien. Gleichzeitig sollten Sie auf eine lange Anlagedauer und auf die Streuung Ihres Geldes auf viele Titel und Branchen achten.</w:t>
      </w:r>
    </w:p>
    <w:p w14:paraId="6732176E" w14:textId="77777777" w:rsidR="00424F8F" w:rsidRPr="00424F8F" w:rsidRDefault="00424F8F" w:rsidP="00424F8F">
      <w:r w:rsidRPr="00424F8F">
        <w:t>Die Diversifikation funktioniert auf mehreren Ebenen. Sie können Ihr Aktieninvestment über verschiedene Branchen, Unternehmensgrößen und Regionen streuen. Aktien lassen sich in zahlreiche Unterklassen einteilen. In vielen wissenschaftlichen Studien werden Small Caps, Value-Aktien und Schwellenländeraktien ein höheres Ertragspotenzial zugeschrieben als dem Gesamtaktienmarkt.</w:t>
      </w:r>
    </w:p>
    <w:p w14:paraId="07B9D119" w14:textId="77777777" w:rsidR="00424F8F" w:rsidRPr="00424F8F" w:rsidRDefault="00424F8F" w:rsidP="00424F8F">
      <w:r w:rsidRPr="00424F8F">
        <w:lastRenderedPageBreak/>
        <w:t>Mit einem gut diversifizierten Aktienfonds-Portfolio können Sie bereits mit kleinsten Summen eine breite Risikostreuung erreichen. Aktien eignen sich für die langfristige Geldanlage; für kurzfristige Ziele sind andere Anlageklassen besser geeignet. Moderne ETFs ermöglichen es Ihnen, mit geringem Kapitaleinsatz global diversifiziert zu investieren und dabei die Kosten niedrig zu halten.</w:t>
      </w:r>
    </w:p>
    <w:p w14:paraId="7E976267" w14:textId="77777777" w:rsidR="00424F8F" w:rsidRPr="00424F8F" w:rsidRDefault="00424F8F" w:rsidP="00424F8F">
      <w:pPr>
        <w:rPr>
          <w:b/>
          <w:bCs/>
        </w:rPr>
      </w:pPr>
      <w:r w:rsidRPr="00424F8F">
        <w:rPr>
          <w:b/>
          <w:bCs/>
        </w:rPr>
        <w:t>Abgeltungssteuer und Steuerbelastung</w:t>
      </w:r>
    </w:p>
    <w:p w14:paraId="10A6FDB6" w14:textId="77777777" w:rsidR="00424F8F" w:rsidRPr="00424F8F" w:rsidRDefault="00424F8F" w:rsidP="00424F8F">
      <w:r w:rsidRPr="00424F8F">
        <w:t>Bei Aktiengeschäften müssen Sie die steuerlichen Konsequenzen im Blick behalten. Finanzinstitute in Deutschland behalten 25 Prozent Abgeltungssteuer auf Zinsen, Dividenden und realisierte Kursgewinne ein. Hinzu kommt der Solidaritätszuschlag von 5,5 Prozent sowie gegebenenfalls Kirchensteuer. Die Abgeltungssteuer wird dann automatisch ans Finanzamt abgeführt.</w:t>
      </w:r>
    </w:p>
    <w:p w14:paraId="715FDEFE" w14:textId="77777777" w:rsidR="00424F8F" w:rsidRPr="00424F8F" w:rsidRDefault="00424F8F" w:rsidP="00424F8F">
      <w:r w:rsidRPr="00424F8F">
        <w:t>Die Gesamtbelastung variiert je nach persönlichen Umständen: Die Abgeltungssteuer beträgt 25 Prozent plus 5,5 Prozent Solidaritätszuschlag, was 26,375 Prozent ergibt – sofern Sie nicht kirchensteuerpflichtig sind. Wenn Sie in der Kirche sind, erhöht sich die Belastung um weitere acht Prozent (Bayern und Baden-Württemberg) oder neun Prozent (übrige Bundesländer) auf die Abgeltungssteuer. Damit ergibt sich eine Gesamtbelastung von etwa 27,8 Prozent bis knapp 28 Prozent.</w:t>
      </w:r>
    </w:p>
    <w:p w14:paraId="05FAB91A" w14:textId="77777777" w:rsidR="00424F8F" w:rsidRPr="00424F8F" w:rsidRDefault="00424F8F" w:rsidP="00424F8F">
      <w:r w:rsidRPr="00424F8F">
        <w:t>Grundsätzlich sind Aktiengewinne immer steuerpflichtig. Eine Ausnahme bilden lediglich Gewinne aus dem Verkauf von Altbeständen – also Aktien, die vor 2009 gekauft wurden. Diese Besitzstandsregelung schützt Anleger, die bereits vor Einführung der Abgeltungssteuer investiert waren.</w:t>
      </w:r>
    </w:p>
    <w:p w14:paraId="7E9BD39D" w14:textId="77777777" w:rsidR="00424F8F" w:rsidRPr="00424F8F" w:rsidRDefault="00424F8F" w:rsidP="00424F8F">
      <w:pPr>
        <w:rPr>
          <w:b/>
          <w:bCs/>
        </w:rPr>
      </w:pPr>
      <w:r w:rsidRPr="00424F8F">
        <w:rPr>
          <w:b/>
          <w:bCs/>
        </w:rPr>
        <w:t>Sparerpauschbetrag und Freistellungsaufträge</w:t>
      </w:r>
    </w:p>
    <w:p w14:paraId="3B121E94" w14:textId="77777777" w:rsidR="00424F8F" w:rsidRPr="00424F8F" w:rsidRDefault="00424F8F" w:rsidP="00424F8F">
      <w:r w:rsidRPr="00424F8F">
        <w:t>Der Sparerpauschbetrag federt die Steuerbelastung für kleinere Kapitalerträge ab. Jede Sparerin und jeder Sparer kann seit dem 1. Januar 2023 1.000 Euro an Kapitalerträgen pro Jahr freistellen. Bei zusammenveranlagten Ehegatten oder Lebenspartnern wird ein gemeinsamer Sparerpauschbetrag von 2.000 Euro gewährt. Bis 2022 betrug dieser Betrag 801 beziehungsweise 1.602 Euro.</w:t>
      </w:r>
    </w:p>
    <w:p w14:paraId="412BE703" w14:textId="77777777" w:rsidR="00424F8F" w:rsidRPr="00424F8F" w:rsidRDefault="00424F8F" w:rsidP="00424F8F">
      <w:r w:rsidRPr="00424F8F">
        <w:t>Um den Sparerpauschbetrag bereits beim Kapitalertragsteuerabzug zu nutzen, sollten Sie Ihrem Kreditinstitut einen sogenannten Freistellungsauftrag erteilen. Mit Hilfe des Freistellungsauftrags wird der Sparerpauschbetrag direkt an der Quelle beim Steuerabzug berücksichtigt. Dies erledigen Sie bei Ihrem Kreditinstitut, also bei Ihrer Bank oder Sparkasse.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gridCol w:w="2465"/>
        <w:gridCol w:w="2326"/>
      </w:tblGrid>
      <w:tr w:rsidR="00424F8F" w:rsidRPr="00424F8F" w14:paraId="43609EC5" w14:textId="77777777">
        <w:trPr>
          <w:tblHeader/>
          <w:tblCellSpacing w:w="15" w:type="dxa"/>
        </w:trPr>
        <w:tc>
          <w:tcPr>
            <w:tcW w:w="0" w:type="auto"/>
            <w:vAlign w:val="center"/>
            <w:hideMark/>
          </w:tcPr>
          <w:p w14:paraId="4C4A305C" w14:textId="77777777" w:rsidR="00424F8F" w:rsidRPr="00424F8F" w:rsidRDefault="00424F8F" w:rsidP="00424F8F">
            <w:pPr>
              <w:rPr>
                <w:b/>
                <w:bCs/>
              </w:rPr>
            </w:pPr>
            <w:r w:rsidRPr="00424F8F">
              <w:rPr>
                <w:b/>
                <w:bCs/>
              </w:rPr>
              <w:t>Freistellungsauftrag-Variante</w:t>
            </w:r>
          </w:p>
        </w:tc>
        <w:tc>
          <w:tcPr>
            <w:tcW w:w="0" w:type="auto"/>
            <w:vAlign w:val="center"/>
            <w:hideMark/>
          </w:tcPr>
          <w:p w14:paraId="552E2432" w14:textId="77777777" w:rsidR="00424F8F" w:rsidRPr="00424F8F" w:rsidRDefault="00424F8F" w:rsidP="00424F8F">
            <w:pPr>
              <w:rPr>
                <w:b/>
                <w:bCs/>
              </w:rPr>
            </w:pPr>
            <w:r w:rsidRPr="00424F8F">
              <w:rPr>
                <w:b/>
                <w:bCs/>
              </w:rPr>
              <w:t>Vorteil</w:t>
            </w:r>
          </w:p>
        </w:tc>
        <w:tc>
          <w:tcPr>
            <w:tcW w:w="0" w:type="auto"/>
            <w:vAlign w:val="center"/>
            <w:hideMark/>
          </w:tcPr>
          <w:p w14:paraId="662F65C8" w14:textId="77777777" w:rsidR="00424F8F" w:rsidRPr="00424F8F" w:rsidRDefault="00424F8F" w:rsidP="00424F8F">
            <w:pPr>
              <w:rPr>
                <w:b/>
                <w:bCs/>
              </w:rPr>
            </w:pPr>
            <w:r w:rsidRPr="00424F8F">
              <w:rPr>
                <w:b/>
                <w:bCs/>
              </w:rPr>
              <w:t>Nachteil</w:t>
            </w:r>
          </w:p>
        </w:tc>
      </w:tr>
      <w:tr w:rsidR="00424F8F" w:rsidRPr="00424F8F" w14:paraId="7B1CDC90" w14:textId="77777777">
        <w:trPr>
          <w:tblCellSpacing w:w="15" w:type="dxa"/>
        </w:trPr>
        <w:tc>
          <w:tcPr>
            <w:tcW w:w="0" w:type="auto"/>
            <w:vAlign w:val="center"/>
            <w:hideMark/>
          </w:tcPr>
          <w:p w14:paraId="6CB7C1BB" w14:textId="77777777" w:rsidR="00424F8F" w:rsidRPr="00424F8F" w:rsidRDefault="00424F8F" w:rsidP="00424F8F">
            <w:r w:rsidRPr="00424F8F">
              <w:t>Bei der Bank</w:t>
            </w:r>
          </w:p>
        </w:tc>
        <w:tc>
          <w:tcPr>
            <w:tcW w:w="0" w:type="auto"/>
            <w:vAlign w:val="center"/>
            <w:hideMark/>
          </w:tcPr>
          <w:p w14:paraId="60901ECA" w14:textId="77777777" w:rsidR="00424F8F" w:rsidRPr="00424F8F" w:rsidRDefault="00424F8F" w:rsidP="00424F8F">
            <w:r w:rsidRPr="00424F8F">
              <w:t>Sofortige Steuerersparnis</w:t>
            </w:r>
          </w:p>
        </w:tc>
        <w:tc>
          <w:tcPr>
            <w:tcW w:w="0" w:type="auto"/>
            <w:vAlign w:val="center"/>
            <w:hideMark/>
          </w:tcPr>
          <w:p w14:paraId="13FA0EF7" w14:textId="77777777" w:rsidR="00424F8F" w:rsidRPr="00424F8F" w:rsidRDefault="00424F8F" w:rsidP="00424F8F">
            <w:r w:rsidRPr="00424F8F">
              <w:t>Vorausplanung nötig</w:t>
            </w:r>
          </w:p>
        </w:tc>
      </w:tr>
      <w:tr w:rsidR="00424F8F" w:rsidRPr="00424F8F" w14:paraId="2F9B0A81" w14:textId="77777777">
        <w:trPr>
          <w:tblCellSpacing w:w="15" w:type="dxa"/>
        </w:trPr>
        <w:tc>
          <w:tcPr>
            <w:tcW w:w="0" w:type="auto"/>
            <w:vAlign w:val="center"/>
            <w:hideMark/>
          </w:tcPr>
          <w:p w14:paraId="1D46816B" w14:textId="77777777" w:rsidR="00424F8F" w:rsidRPr="00424F8F" w:rsidRDefault="00424F8F" w:rsidP="00424F8F">
            <w:r w:rsidRPr="00424F8F">
              <w:t>Über Steuererklärung</w:t>
            </w:r>
          </w:p>
        </w:tc>
        <w:tc>
          <w:tcPr>
            <w:tcW w:w="0" w:type="auto"/>
            <w:vAlign w:val="center"/>
            <w:hideMark/>
          </w:tcPr>
          <w:p w14:paraId="34DF9826" w14:textId="77777777" w:rsidR="00424F8F" w:rsidRPr="00424F8F" w:rsidRDefault="00424F8F" w:rsidP="00424F8F">
            <w:r w:rsidRPr="00424F8F">
              <w:t>Nachträglich möglich</w:t>
            </w:r>
          </w:p>
        </w:tc>
        <w:tc>
          <w:tcPr>
            <w:tcW w:w="0" w:type="auto"/>
            <w:vAlign w:val="center"/>
            <w:hideMark/>
          </w:tcPr>
          <w:p w14:paraId="00DCBF14" w14:textId="77777777" w:rsidR="00424F8F" w:rsidRPr="00424F8F" w:rsidRDefault="00424F8F" w:rsidP="00424F8F">
            <w:r w:rsidRPr="00424F8F">
              <w:t>Geld zunächst blockiert</w:t>
            </w:r>
          </w:p>
        </w:tc>
      </w:tr>
      <w:tr w:rsidR="00424F8F" w:rsidRPr="00424F8F" w14:paraId="076C3D9F" w14:textId="77777777">
        <w:trPr>
          <w:tblCellSpacing w:w="15" w:type="dxa"/>
        </w:trPr>
        <w:tc>
          <w:tcPr>
            <w:tcW w:w="0" w:type="auto"/>
            <w:vAlign w:val="center"/>
            <w:hideMark/>
          </w:tcPr>
          <w:p w14:paraId="69EEBF18" w14:textId="77777777" w:rsidR="00424F8F" w:rsidRPr="00424F8F" w:rsidRDefault="00424F8F" w:rsidP="00424F8F">
            <w:r w:rsidRPr="00424F8F">
              <w:t>Aufteilung auf mehrere Banken</w:t>
            </w:r>
          </w:p>
        </w:tc>
        <w:tc>
          <w:tcPr>
            <w:tcW w:w="0" w:type="auto"/>
            <w:vAlign w:val="center"/>
            <w:hideMark/>
          </w:tcPr>
          <w:p w14:paraId="0725E4F6" w14:textId="77777777" w:rsidR="00424F8F" w:rsidRPr="00424F8F" w:rsidRDefault="00424F8F" w:rsidP="00424F8F">
            <w:r w:rsidRPr="00424F8F">
              <w:t>Flexible Verteilung</w:t>
            </w:r>
          </w:p>
        </w:tc>
        <w:tc>
          <w:tcPr>
            <w:tcW w:w="0" w:type="auto"/>
            <w:vAlign w:val="center"/>
            <w:hideMark/>
          </w:tcPr>
          <w:p w14:paraId="53CD5615" w14:textId="77777777" w:rsidR="00424F8F" w:rsidRPr="00424F8F" w:rsidRDefault="00424F8F" w:rsidP="00424F8F">
            <w:r w:rsidRPr="00424F8F">
              <w:t>Verwaltungsaufwand</w:t>
            </w:r>
          </w:p>
        </w:tc>
      </w:tr>
    </w:tbl>
    <w:p w14:paraId="5E84B601" w14:textId="77777777" w:rsidR="00424F8F" w:rsidRPr="00424F8F" w:rsidRDefault="00424F8F" w:rsidP="00424F8F">
      <w:r w:rsidRPr="00424F8F">
        <w:t>Haben Sie mehrere Banken, können Sie den Sparerpauschbetrag von 1.000 Euro aufteilen und Teilbeträge den einzelnen Freistellungsaufträgen zuweisen. Schätzen Sie Ihre Erträge je Bank und verteilen Sie die Freibeträge sorgfältig. Wichtig: Zusammengerechnet dürfen alle Ihre Freistellungsaufträge 1.000 Euro pro Person nicht überschreiten.</w:t>
      </w:r>
    </w:p>
    <w:p w14:paraId="24473BE0" w14:textId="77777777" w:rsidR="00424F8F" w:rsidRPr="00424F8F" w:rsidRDefault="00424F8F" w:rsidP="00424F8F">
      <w:pPr>
        <w:rPr>
          <w:b/>
          <w:bCs/>
        </w:rPr>
      </w:pPr>
      <w:r w:rsidRPr="00424F8F">
        <w:rPr>
          <w:b/>
          <w:bCs/>
        </w:rPr>
        <w:t>Verlustverrechnung und Günstigerprüfung</w:t>
      </w:r>
    </w:p>
    <w:p w14:paraId="5BD0CF59" w14:textId="77777777" w:rsidR="00424F8F" w:rsidRPr="00424F8F" w:rsidRDefault="00424F8F" w:rsidP="00424F8F">
      <w:r w:rsidRPr="00424F8F">
        <w:lastRenderedPageBreak/>
        <w:t>Die Verlustverrechnung bietet zusätzliche Optimierungsmöglichkeiten. Verluste aus Kapitalanlagen können mit Gewinnen aus anderen Kapitalerträgen verrechnet werden. Allerdings ist die Verrechnung von Verlusten aus Aktiengeschäften nur mit Gewinnen aus Aktienverkäufen möglich. Andere Verluste etwa aus Fonds können hingegen mit sämtlichen Kapitalerträgen verrechnet werden.</w:t>
      </w:r>
    </w:p>
    <w:p w14:paraId="74AF7467" w14:textId="77777777" w:rsidR="00424F8F" w:rsidRPr="00424F8F" w:rsidRDefault="00424F8F" w:rsidP="00424F8F">
      <w:r w:rsidRPr="00424F8F">
        <w:t>Für Anleger mit niedrigem Einkommen existiert eine weitere Möglichkeit: Anleger mit einem persönlichen Einkommensteuersatz unter 25 Prozent können im Rahmen der Einkommensteuererklärung eine sogenannte Günstigerprüfung beantragen. Bei dieser Günstigerprüfung überprüft das Finanzamt, ob der individuelle Steuersatz niedriger ist als die Abgeltungssteuer. Ist dies der Fall, wird der niedrigere Steuersatz angewendet, was zu einer Steuererstattung führen kann.</w:t>
      </w:r>
    </w:p>
    <w:p w14:paraId="0A1182EA" w14:textId="77777777" w:rsidR="00424F8F" w:rsidRPr="00424F8F" w:rsidRDefault="00424F8F" w:rsidP="00424F8F">
      <w:r w:rsidRPr="00424F8F">
        <w:t>Eine weitere Möglichkeit, den Steuerabzug an der Quelle zu vermeiden, ist die Nichtveranlagungsbescheinigung (NV-Bescheinigung). Sie beantragen diese bei Ihrem Finanzamt. Diese Option eignet sich für Personen mit sehr geringen Gesamteinkünften, die unter dem Grundfreibetrag liegen.</w:t>
      </w:r>
    </w:p>
    <w:p w14:paraId="5CD80946" w14:textId="77777777" w:rsidR="00424F8F" w:rsidRPr="00424F8F" w:rsidRDefault="00424F8F" w:rsidP="00424F8F">
      <w:pPr>
        <w:rPr>
          <w:b/>
          <w:bCs/>
        </w:rPr>
      </w:pPr>
      <w:r w:rsidRPr="00424F8F">
        <w:rPr>
          <w:b/>
          <w:bCs/>
        </w:rPr>
        <w:t>Fazit: Aktien als Langfrist-Investment mit Steuerplanung</w:t>
      </w:r>
    </w:p>
    <w:p w14:paraId="66E89A18" w14:textId="77777777" w:rsidR="00424F8F" w:rsidRPr="00424F8F" w:rsidRDefault="00424F8F" w:rsidP="00424F8F">
      <w:r w:rsidRPr="00424F8F">
        <w:t>Aktien bleiben die renditesträgste Anlageklasse für den langfristigen Vermögensaufbau, erfordern aber eine durchdachte Herangehensweise. Die breite Diversifikation durch ETFs oder Fonds reduziert das Risiko erheblich, ohne die Renditechancen zu schmälern. Die steuerlichen Aspekte sollten Sie von Anfang an mitdenken: Nutzen Sie den Sparerpauschbetrag über Freistellungsaufträge optimal aus und verteilen Sie diese sinnvoll auf Ihre Depots. Prüfen Sie zudem, ob eine Günstigerprüfung oder eine Nichtveranlagungsbescheinigung für Sie infrage kommt. Mit einem Anlagehorizont von mindestens zehn Jahren können Sie Marktschwankungen aussitzen und von der historisch bewiesenen Überlegenheit der Aktienanlage profitieren. Die automatische Abführung der Abgeltungssteuer durch deutsche Banken vereinfacht dabei den Steuerprozess erheblich.</w:t>
      </w:r>
    </w:p>
    <w:p w14:paraId="5910CA31"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5E"/>
    <w:rsid w:val="001823CB"/>
    <w:rsid w:val="00287A5E"/>
    <w:rsid w:val="00424F8F"/>
    <w:rsid w:val="007E39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2878EB-3C56-4063-AFE9-C502A09E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7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87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87A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87A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87A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87A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7A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7A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7A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7A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87A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87A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87A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87A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87A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7A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7A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7A5E"/>
    <w:rPr>
      <w:rFonts w:eastAsiaTheme="majorEastAsia" w:cstheme="majorBidi"/>
      <w:color w:val="272727" w:themeColor="text1" w:themeTint="D8"/>
    </w:rPr>
  </w:style>
  <w:style w:type="paragraph" w:styleId="Titel">
    <w:name w:val="Title"/>
    <w:basedOn w:val="Standard"/>
    <w:next w:val="Standard"/>
    <w:link w:val="TitelZchn"/>
    <w:uiPriority w:val="10"/>
    <w:qFormat/>
    <w:rsid w:val="0028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7A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7A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7A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7A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87A5E"/>
    <w:rPr>
      <w:i/>
      <w:iCs/>
      <w:color w:val="404040" w:themeColor="text1" w:themeTint="BF"/>
    </w:rPr>
  </w:style>
  <w:style w:type="paragraph" w:styleId="Listenabsatz">
    <w:name w:val="List Paragraph"/>
    <w:basedOn w:val="Standard"/>
    <w:uiPriority w:val="34"/>
    <w:qFormat/>
    <w:rsid w:val="00287A5E"/>
    <w:pPr>
      <w:ind w:left="720"/>
      <w:contextualSpacing/>
    </w:pPr>
  </w:style>
  <w:style w:type="character" w:styleId="IntensiveHervorhebung">
    <w:name w:val="Intense Emphasis"/>
    <w:basedOn w:val="Absatz-Standardschriftart"/>
    <w:uiPriority w:val="21"/>
    <w:qFormat/>
    <w:rsid w:val="00287A5E"/>
    <w:rPr>
      <w:i/>
      <w:iCs/>
      <w:color w:val="0F4761" w:themeColor="accent1" w:themeShade="BF"/>
    </w:rPr>
  </w:style>
  <w:style w:type="paragraph" w:styleId="IntensivesZitat">
    <w:name w:val="Intense Quote"/>
    <w:basedOn w:val="Standard"/>
    <w:next w:val="Standard"/>
    <w:link w:val="IntensivesZitatZchn"/>
    <w:uiPriority w:val="30"/>
    <w:qFormat/>
    <w:rsid w:val="0028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87A5E"/>
    <w:rPr>
      <w:i/>
      <w:iCs/>
      <w:color w:val="0F4761" w:themeColor="accent1" w:themeShade="BF"/>
    </w:rPr>
  </w:style>
  <w:style w:type="character" w:styleId="IntensiverVerweis">
    <w:name w:val="Intense Reference"/>
    <w:basedOn w:val="Absatz-Standardschriftart"/>
    <w:uiPriority w:val="32"/>
    <w:qFormat/>
    <w:rsid w:val="00287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6683</Characters>
  <Application>Microsoft Office Word</Application>
  <DocSecurity>0</DocSecurity>
  <Lines>55</Lines>
  <Paragraphs>15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2026-04-04T17:30:00Z</dcterms:created>
  <dcterms:modified xsi:type="dcterms:W3CDTF">2026-04-04T17:30:00Z</dcterms:modified>
</cp:coreProperties>
</file>