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Baufinanzierung</w:t>
      </w:r>
    </w:p>
    <w:p>
      <w:r>
        <w:rPr>
          <w:i/>
        </w:rPr>
        <w:t>Baufinanzierung erklärt: Zinsen, Konditionen &amp; Tipps</w:t>
      </w:r>
    </w:p>
    <w:p>
      <w:pPr>
        <w:pStyle w:val="Heading1"/>
      </w:pPr>
      <w:r>
        <w:t>Baufinanzierung</w:t>
      </w:r>
    </w:p>
    <w:p>
      <w:r>
        <w:t>Eine Baufinanzierung gehört für viele Menschen zu den wichtigsten finanziellen Entscheidungen ihres Lebens. Wer 2026 den Schritt zum Eigenheim plant, trifft auf veränderte Rahmenbedingungen: Die aktuellen Bauzinsen bewegen sich zwischen 3,22 % und 4,27 % je nach Zinsbindung, während Experten für 2026 eine stetige Aufwärtsbewegung der Immobilienpreise erwarten und Banken bei steigenden Preisen häufig mehr Eigenkapital verlangen. Diese Entwicklungen machen eine durchdachte Finanzierungsstrategie umso wichtiger, um langfristig solide und bezahlbar zu finanzieren.</w:t>
      </w:r>
    </w:p>
    <w:p>
      <w:pPr>
        <w:pStyle w:val="Heading2"/>
      </w:pPr>
      <w:r>
        <w:t>Zielgruppen und Anforderungen der Baufinanzierung</w:t>
      </w:r>
    </w:p>
    <w:p>
      <w:r>
        <w:t>Eine Baufinanzierung richtet sich primär an Menschen, die eine selbstgenutzte Immobilie erwerben oder bauen möchten. Alle, die selbst genutztes Wohneigentum kaufen oder bauen, können grundsätzlich eine Finanzierung beantragen – ohne Einkommensgrenze, ohne energetische Anforderungen. Besonders attraktiv ist der Immobilienerwerb für Familien, da sie von speziellen Förderprogrammen profitieren können.</w:t>
      </w:r>
    </w:p>
    <w:p>
      <w:r>
        <w:t>Allerdings stellen Banken klare Anforderungen an die Bonität und das Einkommen. Ein Angestellter mit 4.000 Euro netto und unbefristetem Vertrag gilt als „sicherer" als ein Unternehmer mit 15.000 Euro Gewinn pro Monat. Selbstständige und Freiberufler haben es daher oft schwerer, müssen aber nicht verzagen: Bereits heute stammen rund 12,15 % aller Immobilienfinanzierungen von selbstständigen oder freiberuflichen Antragstellern. Diese Gruppe wird von Banken häufig intensiver geprüft, was längere Bearbeitungszeiten und höhere Anforderungen an Unterlagen bedeutet.</w:t>
      </w:r>
    </w:p>
    <w:p>
      <w:r>
        <w:t>Neben der Bonität spielt das Alter eine Rolle: Viele Banken finanzieren nur bis zu einem bestimmten Renteneintrittsalter. Junge Familien zwischen 25 und 45 Jahren haben daher oft die besten Voraussetzungen, da sie noch lange Tilgungszeiträume nutzen können und häufig von staatlichen Förderungen profitieren.</w:t>
      </w:r>
    </w:p>
    <w:p>
      <w:pPr>
        <w:pStyle w:val="Heading2"/>
      </w:pPr>
      <w:r>
        <w:t>Aktuelle Zinsentwicklung und Marktbedingungen 2026</w:t>
      </w:r>
    </w:p>
    <w:p>
      <w:r>
        <w:t>Zum Start in den März bewegen sich die Bauzinsen für 10-jährige Darlehen stabil um die 3,3 %. Die Zinsentwicklung wird durch verschiedene Faktoren beeinflusst: Geopolitische Spannungen haben die Energiepreise erhöht, wodurch die Zinsen für 10-jährige Darlehen zeitweise über 3,9 % gestiegen sind. Der Ölpreis zeigt sich schwankungsanfällig. Die höheren Energiepreise sind bereits an den Tankstellen spürbar.</w:t>
      </w:r>
    </w:p>
    <w:p>
      <w:r>
        <w:t>Für das erste Halbjahr 2026 geben Experten eine vorsichtige Prognose ab: Dr. Klein erwartet, dass sich der Topzins für 10-jährige Darlehen in einer Spanne von 3,1 % bis 3,7 % bewegt. Insgesamt bleiben die Zinsen stabil mit einem leichten Aufwärtstrend. Bei einem Leitzins der Europäischen Zentralbank (EZB) von aktuell 2,00 % ist grundsätzlich momentan von stagnierenden bis minimal schwankenden Bauzinsen auszugehen.</w:t>
      </w:r>
    </w:p>
    <w:p>
      <w:r>
        <w:t>Die Prognose für das gesamte Jahr fällt moderat optimistisch aus: Im April 2026 sind nur geringe Veränderungen der Bauzinsen zu erwarten. Für den Jahresverlauf 2026 rechnen viele Finanzierungsexperten mit einem möglichen moderaten Anstieg der Bauzinsen in Richtung 4 %. Historisch betrachtet bleiben diese Werte im Normalbereich.</w:t>
      </w:r>
    </w:p>
    <w:p>
      <w:pPr>
        <w:pStyle w:val="Heading2"/>
      </w:pPr>
      <w:r>
        <w:t>Eigenkapital und Bonität: Die Grundpfeiler der Finanzierung</w:t>
      </w:r>
    </w:p>
    <w:p>
      <w:r>
        <w:t>Das Eigenkapital bildet das Fundament jeder soliden Baufinanzierung. Ein Eigenkapitalanteil von 20–30 % des Kaufpreises ist sinnvoll. Je mehr Eigenkapital Sie einbringen, desto geringer das Risiko für die Bank – und desto besser Ihre Zinsen.</w:t>
      </w:r>
    </w:p>
    <w:p>
      <w:r>
        <w:t>Für Selbstständige gelten höhere Anforderungen: Während Angestellte oft mit 10–15 % Eigenkapital finanzieren können, empfehle ich Selbstständigen mindestens 20–30 %.</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Eigenkapitalquote</w:t>
            </w:r>
          </w:p>
        </w:tc>
        <w:tc>
          <w:tcPr>
            <w:tcW w:type="dxa" w:w="2340"/>
          </w:tcPr>
          <w:p>
            <w:r>
              <w:rPr>
                <w:b/>
              </w:rPr>
              <w:t>Zinsvorteil</w:t>
            </w:r>
          </w:p>
        </w:tc>
        <w:tc>
          <w:tcPr>
            <w:tcW w:type="dxa" w:w="2340"/>
          </w:tcPr>
          <w:p>
            <w:r>
              <w:rPr>
                <w:b/>
              </w:rPr>
              <w:t>Risiko</w:t>
            </w:r>
          </w:p>
        </w:tc>
        <w:tc>
          <w:tcPr>
            <w:tcW w:type="dxa" w:w="2340"/>
          </w:tcPr>
          <w:p>
            <w:r>
              <w:rPr>
                <w:b/>
              </w:rPr>
              <w:t>Empfehlung</w:t>
            </w:r>
          </w:p>
        </w:tc>
      </w:tr>
      <w:tr>
        <w:tc>
          <w:tcPr>
            <w:tcW w:type="dxa" w:w="2340"/>
          </w:tcPr>
          <w:p>
            <w:r>
              <w:t>10–15 %</w:t>
            </w:r>
          </w:p>
        </w:tc>
        <w:tc>
          <w:tcPr>
            <w:tcW w:type="dxa" w:w="2340"/>
          </w:tcPr>
          <w:p>
            <w:r>
              <w:t>Gering</w:t>
            </w:r>
          </w:p>
        </w:tc>
        <w:tc>
          <w:tcPr>
            <w:tcW w:type="dxa" w:w="2340"/>
          </w:tcPr>
          <w:p>
            <w:r>
              <w:t>Hoch</w:t>
            </w:r>
          </w:p>
        </w:tc>
        <w:tc>
          <w:tcPr>
            <w:tcW w:type="dxa" w:w="2340"/>
          </w:tcPr>
          <w:p>
            <w:r>
              <w:t>Nur bei sehr guter Bonität</w:t>
            </w:r>
          </w:p>
        </w:tc>
      </w:tr>
      <w:tr>
        <w:tc>
          <w:tcPr>
            <w:tcW w:type="dxa" w:w="2340"/>
          </w:tcPr>
          <w:p>
            <w:r>
              <w:t>20–30 %</w:t>
            </w:r>
          </w:p>
        </w:tc>
        <w:tc>
          <w:tcPr>
            <w:tcW w:type="dxa" w:w="2340"/>
          </w:tcPr>
          <w:p>
            <w:r>
              <w:t>Moderat</w:t>
            </w:r>
          </w:p>
        </w:tc>
        <w:tc>
          <w:tcPr>
            <w:tcW w:type="dxa" w:w="2340"/>
          </w:tcPr>
          <w:p>
            <w:r>
              <w:t>Normal</w:t>
            </w:r>
          </w:p>
        </w:tc>
        <w:tc>
          <w:tcPr>
            <w:tcW w:type="dxa" w:w="2340"/>
          </w:tcPr>
          <w:p>
            <w:r>
              <w:t>Standard-Empfehlung</w:t>
            </w:r>
          </w:p>
        </w:tc>
      </w:tr>
      <w:tr>
        <w:tc>
          <w:tcPr>
            <w:tcW w:type="dxa" w:w="2340"/>
          </w:tcPr>
          <w:p>
            <w:r>
              <w:t>30–40 %</w:t>
            </w:r>
          </w:p>
        </w:tc>
        <w:tc>
          <w:tcPr>
            <w:tcW w:type="dxa" w:w="2340"/>
          </w:tcPr>
          <w:p>
            <w:r>
              <w:t>Deutlich</w:t>
            </w:r>
          </w:p>
        </w:tc>
        <w:tc>
          <w:tcPr>
            <w:tcW w:type="dxa" w:w="2340"/>
          </w:tcPr>
          <w:p>
            <w:r>
              <w:t>Niedrig</w:t>
            </w:r>
          </w:p>
        </w:tc>
        <w:tc>
          <w:tcPr>
            <w:tcW w:type="dxa" w:w="2340"/>
          </w:tcPr>
          <w:p>
            <w:r>
              <w:t>Optimal für beste Konditionen</w:t>
            </w:r>
          </w:p>
        </w:tc>
      </w:tr>
    </w:tbl>
    <w:p>
      <w:r>
        <w:t>Die Kaufnebenkosten sollten grundsätzlich aus Eigenkapital finanziert werden: In Nordrhein-Westfalen betragen die Kaufnebenkosten etwa 10–12 % des Kaufpreises. Bei einem Kaufpreis von 300.000 Euro sind das 30.000 bis 36.000 Euro, die Sie idealerweise aus Eigenkapital zahlen. Banken finanzieren die Nebenkosten ungern, weil sie keinen Gegenwert in der Immobilie haben.</w:t>
      </w:r>
    </w:p>
    <w:p>
      <w:r>
        <w:t>Strategisch klug ist es, Eigenkapital gezielt einzusetzen: Versuchen Sie, unter die Beleihungsgrenzen von 95 % oder besser 90 % zu kommen. Das spart über die Laufzeit oft fünfstellige Summen an Zinsen.</w:t>
      </w:r>
    </w:p>
    <w:p>
      <w:pPr>
        <w:pStyle w:val="Heading2"/>
      </w:pPr>
      <w:r>
        <w:t>Finanzierungsmodelle und staatliche Förderungen</w:t>
      </w:r>
    </w:p>
    <w:p>
      <w:r>
        <w:t>Das klassische Annuitätendarlehen bleibt auch 2026 der Standard: Es zeichnet sich durch gleichbleibende monatliche Raten aus, die sich aus Zins und Tilgung zusammensetzen. Für sicherheitsorientierte Käufer mit stabilem Einkommen ist dieses Modell weiterhin attraktiv. Besonders sinnvoll ist es, wenn ausreichend Eigenkapital (mindestens 20–30 % inklusive Nebenkosten) eingebracht wird.</w:t>
      </w:r>
    </w:p>
    <w:p>
      <w:r>
        <w:t>Als Alternative gewinnt das Volltilgerdarlehen an Bedeutung: Dabei wird die Immobilie innerhalb der Zinsbindungsfrist vollständig zurückgezahlt. Dies bietet Planungssicherheit, erfordert aber höhere monatliche Raten.</w:t>
      </w:r>
    </w:p>
    <w:p>
      <w:r>
        <w:t>Staatliche Förderungen bleiben ein wichtiger Baustein: Die Förderlandschaft für den Neubau hat sich 2026 erweitert und bietet Bauherren attraktive Finanzierungshilfen. Besonders gefördert werden energieeffiziente Neubauten, die den aktuellen Klimaschutzstandards entsprechen. Die KfW spielt dabei eine zentrale Rolle: Falls Sie die Voraussetzungen erfüllen (Familie, zu versteuerndes Einkommen ≤ 90.000 €, Neubau Effizienzhaus 40), ist KfW 300 mit bis zu 270.000 € zu Sonderkonditionen der größte Förderhebel. Prüfen Sie das unbedingt vor dem Grundstückskauf!</w:t>
      </w:r>
    </w:p>
    <w:p>
      <w:pPr>
        <w:pStyle w:val="Heading2"/>
      </w:pPr>
      <w:r>
        <w:t>Zinsbindung und Tilgungsstrategie richtig wählen</w:t>
      </w:r>
    </w:p>
    <w:p>
      <w:r>
        <w:t>Die Wahl der richtigen Zinsbindung wird 2026 zu einer strategischen Entscheidung. Bei dem aktuellen Zinsniveau ist eine lange Zinsbindung von 15 Jahren oder mehr sinnvoll, um Planungssicherheit zu schaffen und das Zinsänderungsrisiko zu begrenzen. Wichtig ist eine tragfähige Gesamtkalkulation, bei der Tilgung, Nebenkosten und mögliche Sanierungen berücksichtigt werden.</w:t>
      </w:r>
    </w:p>
    <w:p>
      <w:r>
        <w:t>Die Tilgungshöhe sollte der individuellen Situation angepasst werden. Bei den aktuellen Zinsen empfehlen Experten eine Anfangstilgung von mindestens 2 %, besser 3 %. Wer die Baufinanzierung zu knapp kalkuliert, hat wenig Puffer für unerwartete Baukosten, Jobwechsel oder private Belastungen. Kalkulieren Sie daher konservativ und bauen Sie ein Polster auf – sowohl beim Eigenkapital als auch bei den laufenden Kosten.</w:t>
      </w:r>
    </w:p>
    <w:p>
      <w:r>
        <w:t>Flexibilität sollte eingeplant werden: Vereinbaren Sie Sondertilgungen (z.B. 5–10 % pro Jahr) und einen Tilgungswechsel (z.B. Anpassung um ±1 % jährlich). Diese Optionen ermöglichen es, bei veränderten Lebenssituationen reagieren zu können.</w:t>
      </w:r>
    </w:p>
    <w:p>
      <w:r>
        <w:t>Die durchschnittliche Monatsrate lag im Februar 2026 bei 1.046 Euro. So viel zahlt ein Kreditnehmer laut des Europace-Datenportals zur Immobilienfinanzierung im Durchschnitt für einen Hauskredit.</w:t>
      </w:r>
    </w:p>
    <w:p>
      <w:pPr>
        <w:pStyle w:val="Heading2"/>
      </w:pPr>
      <w:r>
        <w:t>Fazit: Strategisch planen und Chancen nutzen</w:t>
      </w:r>
    </w:p>
    <w:p>
      <w:r>
        <w:t>Eine Baufinanzierung in 2026 erfordert sorgfältige Planung, bietet aber durchaus attraktive Möglichkeiten. Die Zinsen haben sich auf einem moderaten, planbaren Niveau stabilisiert, auch wenn ein leichter Anstieg im Jahresverlauf erwartet wird. Wer über ausreichend Eigenkapital verfügt, eine solide Bonität mitbringt und staatliche Förderungen geschickt kombiniert, kann auch im aktuellen Marktumfeld günstige Konditionen erhalten. Besonders wichtig ist es, verschiedene Szenarien durchzurechnen, Flexibilität in die Finanzierung einzubauen und einen ausreichenden Liquiditätspuffer zu bewahren. Die Investition in energieeffiziente Immobilien wird dabei sowohl durch bessere Förderkonditionen als auch durch langfristig niedrigere Betriebskosten belohnt.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