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Betriebliche Krankenversicherung</w:t>
      </w:r>
    </w:p>
    <w:p>
      <w:r>
        <w:rPr>
          <w:i/>
        </w:rPr>
        <w:t>Leitfaden für bKV: Kosten sparen, Mitarbeiter motivieren</w:t>
      </w:r>
    </w:p>
    <w:p>
      <w:pPr>
        <w:pStyle w:val="Heading1"/>
      </w:pPr>
      <w:r>
        <w:t>Betriebliche Krankenversicherung</w:t>
      </w:r>
    </w:p>
    <w:p>
      <w:r>
        <w:t>Die betriebliche Krankenversicherung (bKV) hat sich in Deutschland zu einem wichtigen Personalinstrument entwickelt. Mit über 56.000 Unternehmen, die bereits einen solchen Benefit anbieten, profitieren mittlerweile über 2,5 Millionen Beschäftigte von einer betrieblichen Krankenversicherung. Die veränderten Rahmenbedingungen im Jahr 2026 machen dieses Angebot noch attraktiver.</w:t>
      </w:r>
    </w:p>
    <w:p>
      <w:pPr>
        <w:pStyle w:val="Heading2"/>
      </w:pPr>
      <w:r>
        <w:t>Steuerliche Vorteile und rechtliche Rahmenbedingungen</w:t>
      </w:r>
    </w:p>
    <w:p>
      <w:r>
        <w:t>Die betriebliche Krankenversicherung bietet erhebliche steuerliche Anreize. Seit 2019 gilt sie als Sachbezug und kann im Rahmen einer monatlichen Freigrenze von 50 Euro pro Mitarbeiter steuer- und sozialabgabenfrei gewährt werden. Dies schafft eine Situation, von der beide Seiten profitieren: Der Arbeitgeber investiert beispielsweise 20 Euro monatlich, was 240 Euro im Jahr entspricht. Der Mitarbeiter erhält dafür ein Gesundheitsbudget von bis zu 600 Euro – ohne dass Steuern oder Sozialabgaben anfallen.</w:t>
      </w:r>
    </w:p>
    <w:p>
      <w:r>
        <w:t>Für eine rechtskonforme Umsetzung sind bestimmte Kriterien erforderlich. Der Arbeitgeber muss als Versicherungsnehmer auftreten und die Beiträge direkt an den Versicherer zahlen. Eine Barzahlung an den Mitarbeiter würde als Barlohn gelten und die Steuerfreiheit aufheben. Besonders wichtig: Die 50-Euro-Grenze ist als Freigrenze zu verstehen, nicht als Freibetrag. Wird sie auch nur um einen Cent überschritten, entfällt die Steuerfreiheit komplett.</w:t>
      </w:r>
    </w:p>
    <w:p>
      <w:r>
        <w:t>Für Minijobber bietet die bKV besondere Vorteile. Sachbezüge bis 50 Euro beeinflussen weder den Minijobber-Status noch werden sie auf das monatliche Entgelt angerechnet. Auf diese Weise können auch geringfügig Beschäftigte von einer hochwertigen Zusatzabsicherung profitieren, ohne dass sich an ihrer steuerlichen Situation etwas ändert.</w:t>
      </w:r>
    </w:p>
    <w:p>
      <w:pPr>
        <w:pStyle w:val="Heading2"/>
      </w:pPr>
      <w:r>
        <w:t>Voraussetzungen und Mindestanforderungen</w:t>
      </w:r>
    </w:p>
    <w:p>
      <w:r>
        <w:t>Die Einrichtung einer betrieblichen Krankenversicherung ist an bestimmte Voraussetzungen gebunden, die je nach Versicherer variieren. Eine gesetzliche Mindestanzahl von Mitarbeitern ist nicht festgelegt. Einige Versicherer bieten bKV bereits ab einem Mitarbeiter an, während andere eine Mindestanzahl von 5, 10 oder mehr Mitarbeitern voraussetzen.</w:t>
      </w:r>
    </w:p>
    <w:p>
      <w:r>
        <w:t>Eine betriebliche Krankenversicherung kann nur abgeschlossen werden, wenn sich der Vertrag auf mehrere Mitarbeiter oder eine homogene Gruppe von Mitarbeitern bezieht. Dabei sind verschiedene Möglichkeiten der Gruppenbildung üblich: Die Versicherung kann ab 10, 20, 50 oder 100 Arbeitnehmer abgeschlossen werden. Auch die Variante, dass mindestens 90 Prozent der Belegschaft einbezogen werden, ist gängige Praxis.</w:t>
      </w:r>
    </w:p>
    <w:p>
      <w:r>
        <w:t>Für stationäre Zusatzversicherungen gelten höhere Anforderungen. Für ambulante und zahnmedizinische Produkte der bKV sind mindestens 5 versicherungsfähige Arbeitnehmer erforderlich. Bei stationären Produkten ist eine Mindestanzahl von 20 Personen notwendig. Arbeitgeber sollten dabei immer die Mindestversichertenzahl berücksichtigen, da Versicherer berechtigt sind, den Vertrag zu kündigen, wenn diese Zahl dauerhaft unterschritten wird.</w:t>
      </w:r>
    </w:p>
    <w:p>
      <w:pPr>
        <w:pStyle w:val="Heading2"/>
      </w:pPr>
      <w:r>
        <w:t>Möglichkeiten und Leistungsmodelle</w:t>
      </w:r>
    </w:p>
    <w:p>
      <w:r>
        <w:t>Unternehmen können zwischen verschiedenen Tarifmodellen wählen, die sich grundsätzlich in Budget- und Bausteintarife unterteilen. Im flexiblen Budgetmodell erhalten alle Mitarbeiter ein Budget in gleicher Höhe und können damit ihr Leistungspaket individuell zusammenstellen. Beim Bausteinmodell wählt der Arbeitgeber Leistungen für seine Mitarbeiter aus.</w:t>
      </w:r>
    </w:p>
    <w:p>
      <w:r>
        <w:t>Die Kostenspanne bewegt sich in attraktiven Bereichen. Die günstigsten Tarife beginnen ab 8,50 Euro pro Mitarbeiter monatlich, während umfassendere Pakete ab etwa 12 Euro erhältlich sind.</w:t>
      </w:r>
    </w:p>
    <w:p>
      <w:r>
        <w:t>Ein wichtiger Vorteil der bKV liegt in den Aufnahmebedingungen. Bei den meisten Krankenzusatzversicherungen ist eine Gesundheitsprüfung erforderlich. Bei der betrieblichen Krankenversicherung entfällt diese Prüfung. Zusätzlich gibt es keine Wartezeiten, sodass die Leistungen direkt ab Vertragsabschluss in Anspruch genommen werden können.</w:t>
      </w:r>
    </w:p>
    <w:p>
      <w:pPr>
        <w:pStyle w:val="Heading2"/>
      </w:pPr>
      <w:r>
        <w:t>Anbietervergleich und Marktentwicklung 2026</w:t>
      </w:r>
    </w:p>
    <w:p>
      <w:r>
        <w:t>Der Markt für betriebliche Krankenversicherungen befindet sich 2026 in einer Umbruchphase. Einzelne Anbieter führen erhebliche Beitragserhöhungen durch, teilweise um bis zu 50 Prozent. Diese drastischen Anpassungen betreffen vor allem Budgettarife, bei denen die Kalkulation zu optimistisch ausfiel.</w:t>
      </w:r>
    </w:p>
    <w:p>
      <w:r>
        <w:t>Ein sorgfältiger Anbietervergleich ist daher wichtiger denn je. Das Institut für Vorsorge und Finanzplanung (IVFP) erstellt regelmäßig ein Kompetenz-Rating der betrieblichen Krankenversicherung. Untersucht werden dabei 14 Versicherungsgesellschaften in den Bereichen Beratung, Vertragsgestaltung, Service und Verwaltung sowie Produktportfolio. Über 70 Kriterien fließen in die Bewertung ein.</w:t>
      </w:r>
    </w:p>
    <w:p>
      <w:r>
        <w:t>Bei der Anbieterwahl sollten Unternehmen nicht allein auf den Preis achten. Was auf den ersten Blick günstig erscheint, entpuppt sich häufig als unflexibel oder wenig praxisnah. Weitere wichtige Kriterien sind intransparente Leistungsbedingungen, fehlende Digitalisierung und geringe Nutzungsquoten.</w:t>
      </w:r>
    </w:p>
    <w:p>
      <w:r>
        <w:t>Die Beitragsstabilität wird zum zentralen Auswahlkriterium. Während manche Versicherer mit 60 bis 70 Prozent Budgetausschöpfung kalkulierten, zeigt sich, dass realistische Kalkulationen bei 85 Prozent liegen. Einzelne Anbieter beweisen, dass Beitragsstabilität trotzdem möglich ist.</w:t>
      </w:r>
    </w:p>
    <w:p>
      <w:pPr>
        <w:pStyle w:val="Heading2"/>
      </w:pPr>
      <w:r>
        <w:t>Aktuelle Rahmenbedingungen und Ausblick</w:t>
      </w:r>
    </w:p>
    <w:p>
      <w:r>
        <w:t>Ab 2026 ergeben sich neue Rahmenbedingungen durch angepasste Sozialversicherungswerte. Die Beitragsbemessungsgrenze in der gesetzlichen Krankenversicherung steigt auf 69.750 Euro jährlich, die Versicherungspflichtgrenze auf 77.400 Euro. Diese Erhöhungen machen alternative Absicherungsformen attraktiver, insbesondere für die Mittelschicht.</w:t>
      </w:r>
    </w:p>
    <w:p>
      <w:r>
        <w:t>Der allgemeine Beitragssatz der GKV beträgt 2026 wie in den Vorjahren 14,6 Prozent. Der Zusatzbeitrag wurde auf durchschnittlich 2,9 Prozentpunkte festgelegt. Tatsächlich wird der Zusatzbeitragssatz 2026 im Schnitt über 3 Prozent liegen.</w:t>
      </w:r>
    </w:p>
    <w:p>
      <w:r>
        <w:t>Die Investition in betriebliche Gesundheit zeigt messbare Ergebnisse. Studien belegen, dass jeder in betriebliche Gesundheit investierte Euro durchschnittlich das Dreifache an Krankheitskosten einspart. Bei Krankheitskosten von 200 bis 400 Euro pro Tag ergibt sich ein klarer wirtschaftlicher Nutzen. Angesichts eines Fachkräftemangels und eines Krankenstands von 5,4 Prozent wird die bKV zu einem strategischen Erfolgsfaktor.</w:t>
      </w:r>
    </w:p>
    <w:p>
      <w:pPr>
        <w:pStyle w:val="Heading2"/>
      </w:pPr>
      <w:r>
        <w:t>Fazit</w:t>
      </w:r>
    </w:p>
    <w:p>
      <w:r>
        <w:t>Die betriebliche Krankenversicherung entwickelt sich 2026 zu einem wichtigen Bestandteil der Personalstrategie. Die steuerlichen Vorteile bei korrekter Umsetzung, die flexiblen Gestaltungsmöglichkeiten und die nachgewiesenen positiven Effekte auf Mitarbeiterbindung und Gesundheitskosten machen sie zu einer rentablen Investition. Unternehmen sollten bei der Anbieterwahl jedoch sorgfältig vorgehen und neben dem Preis auch Beitragsstabilität, Servicequalität und Digitalisierungsgrad berücksichtigen. In Zeiten des Fachkräftemangels und steigender Gesundheitsausgaben wird die bKV zum klaren Wettbewerbsvorteil für zukunftsorientierte Arbeitgeber.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