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Düsseldorfer Tabelle</w:t>
      </w:r>
    </w:p>
    <w:p>
      <w:r>
        <w:rPr>
          <w:i/>
        </w:rPr>
        <w:t>Unterhaltsregelung aktualisiert: Neue Sätze 2026</w:t>
      </w:r>
    </w:p>
    <w:p>
      <w:pPr>
        <w:pStyle w:val="Heading1"/>
      </w:pPr>
      <w:r>
        <w:t>Düsseldorfer Tabelle</w:t>
      </w:r>
    </w:p>
    <w:p>
      <w:r>
        <w:t>Die Düsseldorfer Tabelle 2026 wurde zum 1. Januar aktualisiert und ist auf der Internetseite des Oberlandesgerichts Düsseldorf abrufbar. Gegenüber der Tabelle 2025 sind die Bedarfssätze für minderjährige und volljährige Kinder erhöht worden. Diese Richtlinie für Unterhaltsberechnungen betrifft Millionen von Familien in Deutschland und schafft einheitliche Standards für gerechte Unterhaltsentscheidungen.</w:t>
      </w:r>
    </w:p>
    <w:p>
      <w:pPr>
        <w:pStyle w:val="Heading2"/>
      </w:pPr>
      <w:r>
        <w:t>Aktuelle Werte der Düsseldorfer Tabelle 2026</w:t>
      </w:r>
    </w:p>
    <w:p>
      <w:r>
        <w:t>Die Bedarfssätze erhöhen sich wie folgt: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Altersstufe</w:t>
            </w:r>
          </w:p>
        </w:tc>
        <w:tc>
          <w:tcPr>
            <w:tcW w:type="dxa" w:w="3120"/>
          </w:tcPr>
          <w:p>
            <w:r>
              <w:rPr>
                <w:b/>
              </w:rPr>
              <w:t>Bedarfssatz 2026</w:t>
            </w:r>
          </w:p>
        </w:tc>
        <w:tc>
          <w:tcPr>
            <w:tcW w:type="dxa" w:w="3120"/>
          </w:tcPr>
          <w:p>
            <w:r>
              <w:rPr>
                <w:b/>
              </w:rPr>
              <w:t>Erhöhung zu 2025</w:t>
            </w:r>
          </w:p>
        </w:tc>
      </w:tr>
      <w:tr>
        <w:tc>
          <w:tcPr>
            <w:tcW w:type="dxa" w:w="3120"/>
          </w:tcPr>
          <w:p>
            <w:r>
              <w:t>0–5 Jahre</w:t>
            </w:r>
          </w:p>
        </w:tc>
        <w:tc>
          <w:tcPr>
            <w:tcW w:type="dxa" w:w="3120"/>
          </w:tcPr>
          <w:p>
            <w:r>
              <w:t>486 €</w:t>
            </w:r>
          </w:p>
        </w:tc>
        <w:tc>
          <w:tcPr>
            <w:tcW w:type="dxa" w:w="3120"/>
          </w:tcPr>
          <w:p>
            <w:r>
              <w:t>+4 €</w:t>
            </w:r>
          </w:p>
        </w:tc>
      </w:tr>
      <w:tr>
        <w:tc>
          <w:tcPr>
            <w:tcW w:type="dxa" w:w="3120"/>
          </w:tcPr>
          <w:p>
            <w:r>
              <w:t>6–11 Jahre</w:t>
            </w:r>
          </w:p>
        </w:tc>
        <w:tc>
          <w:tcPr>
            <w:tcW w:type="dxa" w:w="3120"/>
          </w:tcPr>
          <w:p>
            <w:r>
              <w:t>558 €</w:t>
            </w:r>
          </w:p>
        </w:tc>
        <w:tc>
          <w:tcPr>
            <w:tcW w:type="dxa" w:w="3120"/>
          </w:tcPr>
          <w:p>
            <w:r>
              <w:t>+4 €</w:t>
            </w:r>
          </w:p>
        </w:tc>
      </w:tr>
      <w:tr>
        <w:tc>
          <w:tcPr>
            <w:tcW w:type="dxa" w:w="3120"/>
          </w:tcPr>
          <w:p>
            <w:r>
              <w:t>12–17 Jahre</w:t>
            </w:r>
          </w:p>
        </w:tc>
        <w:tc>
          <w:tcPr>
            <w:tcW w:type="dxa" w:w="3120"/>
          </w:tcPr>
          <w:p>
            <w:r>
              <w:t>653 €</w:t>
            </w:r>
          </w:p>
        </w:tc>
        <w:tc>
          <w:tcPr>
            <w:tcW w:type="dxa" w:w="3120"/>
          </w:tcPr>
          <w:p>
            <w:r>
              <w:t>+4 €</w:t>
            </w:r>
          </w:p>
        </w:tc>
      </w:tr>
      <w:tr>
        <w:tc>
          <w:tcPr>
            <w:tcW w:type="dxa" w:w="3120"/>
          </w:tcPr>
          <w:p>
            <w:r>
              <w:t>Volljährige</w:t>
            </w:r>
          </w:p>
        </w:tc>
        <w:tc>
          <w:tcPr>
            <w:tcW w:type="dxa" w:w="3120"/>
          </w:tcPr>
          <w:p>
            <w:r>
              <w:t>698 €</w:t>
            </w:r>
          </w:p>
        </w:tc>
        <w:tc>
          <w:tcPr>
            <w:tcW w:type="dxa" w:w="3120"/>
          </w:tcPr>
          <w:p>
            <w:r>
              <w:t>+5 €</w:t>
            </w:r>
          </w:p>
        </w:tc>
      </w:tr>
    </w:tbl>
    <w:p>
      <w:r>
        <w:t>Die Tabellenstruktur bleibt gegenüber 2025 unverändert. Es verbleiben 15 Einkommensgruppen mit einem zugrundeliegenden Regelfall von zwei Unterhaltsberechtigten. Die erste Einkommensgruppe endet bei 2.100 Euro, die 15. bei 11.200 Euro. Dies bietet Planungssicherheit für Familien und Fachleute.</w:t>
      </w:r>
    </w:p>
    <w:p>
      <w:r>
        <w:t>Die Berechnungsgrundlage bleibt konstant: Bis zur fünften Einkommensgruppe werden die Sätze um jeweils 5 Prozent und in den folgenden Gruppen um je 8 Prozent des Mindestunterhalts erhöht und gemäß § 1612a Abs. 2 Satz 2 BGB auf volle Euro aufgerundet.</w:t>
      </w:r>
    </w:p>
    <w:p>
      <w:pPr>
        <w:pStyle w:val="Heading2"/>
      </w:pPr>
      <w:r>
        <w:t>Grundlegende Voraussetzungen für die Anwendung</w:t>
      </w:r>
    </w:p>
    <w:p>
      <w:r>
        <w:t>Die Düsseldorfer Tabelle ist ein anerkanntes Hilfsmittel zur Ermittlung des angemessenen Unterhalts im Sinne des § 1610 BGB. Obwohl die Tabelle keine Gesetzeskraft besitzt, wenden Gerichte sie als maßgebliche Richtlinie für die Berechnung des Kindesunterhalts an.</w:t>
      </w:r>
    </w:p>
    <w:p>
      <w:r>
        <w:t>Sie kommt in Anwendung, wenn Eltern getrennt leben und ein Elternteil barunterhaltspflichtig ist. Die Höhe des Kindesunterhalts hängt vom Einkommen des zahlenden Elternteils und vom Alter des Kindes ab. Die in der Tabelle ausgewiesenen Richtsätze sind Erfahrungswerte, die den Lebensbedarf des Kindes nach den Lebensverhältnissen der Eltern und seinem Alter auf Grundlage durchschnittlicher Lebenshaltungskosten darstellen. Dies ermöglicht eine gleichmäßige Behandlung vergleichbarer Lebenssachverhalte.</w:t>
      </w:r>
    </w:p>
    <w:p>
      <w:r>
        <w:t>Die Tabelle unterscheidet drei Altersgruppen für minderjährige Kinder sowie eine Altersgruppe für volljährige Kinder. Für Studierende gelten besondere Regelungen: Der Bedarfssatz studierender volljähriger Kinder, die nicht bei ihren Eltern oder einem Elternteil wohnen, liegt bei 990 Euro. Darin enthalten sind 440 Euro für Unterkunft inklusive Nebenkosten und Heizung.</w:t>
      </w:r>
    </w:p>
    <w:p>
      <w:pPr>
        <w:pStyle w:val="Heading2"/>
      </w:pPr>
      <w:r>
        <w:t>Selbstbehalt und Leistungsfähigkeit 2026</w:t>
      </w:r>
    </w:p>
    <w:p>
      <w:r>
        <w:t>Der Selbstbehalt schützt Unterhaltspflichtige vor wirtschaftlicher Überforderung. Die Selbstbehalte – die den Unterhaltsschuldnern für ihren Eigenbedarf zu belassenden Beträge – werden zum 1. Januar 2026 nicht erhöht. Der unverändert gebliebene sozialhilferechtliche Regelbedarf war hierfür ausschlaggebend.</w:t>
      </w:r>
    </w:p>
    <w:p>
      <w:r>
        <w:t>Die Düsseldorfer Tabelle unterscheidet zwischen dem notwendigen und dem angemessenen Selbstbehalt sowie zwischen erwerbstätigen und nicht erwerbstätigen Unterhaltspflichtigen. Der notwendige Selbstbehalt gilt gegenüber minderjährigen unverheirateten Kindern sowie diesen gleichgestellten volljährigen Kindern.</w:t>
      </w:r>
    </w:p>
    <w:p>
      <w:r>
        <w:t>Erstmals seit 2020 beziffert die Düsseldorfer Tabelle für 2026 den angemessenen Selbstbehalt, der Kindern gegenüber Unterhaltsansprüchen ihrer Eltern zu belassen ist. Der angemessene Selbstbehalt beträgt 2.650 Euro monatlich. Für Ehepartner von Unterhaltspflichtigen liegt er bei mindestens 2.120 Euro.</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Selbstbehalt-Art</w:t>
            </w:r>
          </w:p>
        </w:tc>
        <w:tc>
          <w:tcPr>
            <w:tcW w:type="dxa" w:w="3120"/>
          </w:tcPr>
          <w:p>
            <w:r>
              <w:rPr>
                <w:b/>
              </w:rPr>
              <w:t>Betrag 2026</w:t>
            </w:r>
          </w:p>
        </w:tc>
        <w:tc>
          <w:tcPr>
            <w:tcW w:type="dxa" w:w="3120"/>
          </w:tcPr>
          <w:p>
            <w:r>
              <w:rPr>
                <w:b/>
              </w:rPr>
              <w:t>Anwendungsbereich</w:t>
            </w:r>
          </w:p>
        </w:tc>
      </w:tr>
      <w:tr>
        <w:tc>
          <w:tcPr>
            <w:tcW w:type="dxa" w:w="3120"/>
          </w:tcPr>
          <w:p>
            <w:r>
              <w:t>Notwendiger Selbstbehalt</w:t>
            </w:r>
          </w:p>
        </w:tc>
        <w:tc>
          <w:tcPr>
            <w:tcW w:type="dxa" w:w="3120"/>
          </w:tcPr>
          <w:p>
            <w:r>
              <w:t>1.450 €</w:t>
            </w:r>
          </w:p>
        </w:tc>
        <w:tc>
          <w:tcPr>
            <w:tcW w:type="dxa" w:w="3120"/>
          </w:tcPr>
          <w:p>
            <w:r>
              <w:t>Minderjährige Kinder</w:t>
            </w:r>
          </w:p>
        </w:tc>
      </w:tr>
      <w:tr>
        <w:tc>
          <w:tcPr>
            <w:tcW w:type="dxa" w:w="3120"/>
          </w:tcPr>
          <w:p>
            <w:r>
              <w:t>Angemessener Selbstbehalt</w:t>
            </w:r>
          </w:p>
        </w:tc>
        <w:tc>
          <w:tcPr>
            <w:tcW w:type="dxa" w:w="3120"/>
          </w:tcPr>
          <w:p>
            <w:r>
              <w:t>2.650 €</w:t>
            </w:r>
          </w:p>
        </w:tc>
        <w:tc>
          <w:tcPr>
            <w:tcW w:type="dxa" w:w="3120"/>
          </w:tcPr>
          <w:p>
            <w:r>
              <w:t>Elternunterhalt</w:t>
            </w:r>
          </w:p>
        </w:tc>
      </w:tr>
      <w:tr>
        <w:tc>
          <w:tcPr>
            <w:tcW w:type="dxa" w:w="3120"/>
          </w:tcPr>
          <w:p>
            <w:r>
              <w:t>Ehepartner-Selbstbehalt</w:t>
            </w:r>
          </w:p>
        </w:tc>
        <w:tc>
          <w:tcPr>
            <w:tcW w:type="dxa" w:w="3120"/>
          </w:tcPr>
          <w:p>
            <w:r>
              <w:t>2.120 €</w:t>
            </w:r>
          </w:p>
        </w:tc>
        <w:tc>
          <w:tcPr>
            <w:tcW w:type="dxa" w:w="3120"/>
          </w:tcPr>
          <w:p>
            <w:r>
              <w:t>Bei Elternunterhalt</w:t>
            </w:r>
          </w:p>
        </w:tc>
      </w:tr>
    </w:tbl>
    <w:p>
      <w:pPr>
        <w:pStyle w:val="Heading2"/>
      </w:pPr>
      <w:r>
        <w:t>Kindergeldanrechnung und Zahlbeträge</w:t>
      </w:r>
    </w:p>
    <w:p>
      <w:r>
        <w:t>Das Kindergeld wird systematisch auf den Unterhaltsbedarf angerechnet. Nach § 1612b BGB wird das Kindergeld auf den Bedarf des Kindes angerechnet – bei minderjährigen Kindern in der Regel zur Hälfte, bei volljährigen Kindern in vollem Umfang. Das Kindergeld beträgt im Jahr 2026 259 Euro für jedes Kind.</w:t>
      </w:r>
    </w:p>
    <w:p>
      <w:r>
        <w:t>Praktisch bedeutet dies: Wenn der Tabellenbedarf steigt und das Kindergeld ebenfalls erhöht wird, bleibt die Mehrbelastung für den Zahlungspflichtigen im Monatsvergleich oft begrenzt. Bei Kindern bis zum fünften Geburtstag reicht der Zahlbetrag 2026 – je nach Einkommensgruppe – von 356,50 Euro bis 842,50 Euro.</w:t>
      </w:r>
    </w:p>
    <w:p>
      <w:r>
        <w:t>Diese Systematik verhindert automatische Doppelbelastungen und sorgt für eine faire Verteilung der Kosten zwischen beiden Elternteilen. Der Rechenschritt „abzüglich Kindergeld" ist häufig ausschlaggebend dafür, wie sich der sogenannte Zahlbetrag ergibt.</w:t>
      </w:r>
    </w:p>
    <w:p>
      <w:pPr>
        <w:pStyle w:val="Heading2"/>
      </w:pPr>
      <w:r>
        <w:t>Mangelfälle und besondere Situationen</w:t>
      </w:r>
    </w:p>
    <w:p>
      <w:r>
        <w:t>Bei unzureichendem Einkommen greifen spezielle Regelungen. Die Düsseldorfer Tabelle arbeitet mit Selbstbehaltsätzen, die den eigenen notwendigen Lebensbedarf schützen sollen. Für 2026 werden diese Selbstbehalte im Bereich des Kindesunterhalts nicht erhöht. Sie sollen sicherstellen, dass die Einstufung in höhere Einkommensgruppen nicht dazu führt, dass dem Unterhaltspflichtigen zu wenig für den eigenen Lebensunterhalt verbleibt. In der Praxis kann das bedeuten, dass zwar rechnerisch eine höhere Einkommensgruppe naheliegt, der tatsächlich anzusetzende Tabellenbetrag aber eine Gruppe niedriger gewählt wird, wenn andernfalls der Bedarfskontrollbetrag unterschritten würde.</w:t>
      </w:r>
    </w:p>
    <w:p>
      <w:r>
        <w:t>Viele Unterhaltszahlungen beruhen auf Titeln wie Jugendamtsurkunden, gerichtlichen Beschlüssen oder Vergleichen. Ob und wie sich die neue Düsseldorfer Tabelle auf einen bestehenden Titel auswirkt, hängt vom Wortlaut ab. Dynamische Titel, die an den Mindestunterhalt anknüpfen, bewegen sich häufig automatisch mit. Starre Beträge tun das nicht. Dort braucht es bei Streit eine Anpassung – im Zweifel über eine einvernehmliche Änderung oder ein gerichtliches Verfahren.</w:t>
      </w:r>
    </w:p>
    <w:p>
      <w:pPr>
        <w:pStyle w:val="Heading2"/>
      </w:pPr>
      <w:r>
        <w:t>Fazit</w:t>
      </w:r>
    </w:p>
    <w:p>
      <w:r>
        <w:t>Die Düsseldorfer Tabelle 2026 ist ein durchdachtes Instrument zur fairen Unterhaltsberechnung. Die Anpassung fällt kleiner aus als in den Vorjahren und spiegelt die moderatere Inflationsentwicklung wider. Mit einer Erhöhung von lediglich 4 Euro bei den Mindestbedarfssätzen bleibt die Belastung für Unterhaltspflichtige überschaubar, während gestiegene Lebenshaltungskosten berücksichtigt werden. Besonders bedeutsam ist die erstmalige Konkretisierung des Selbstbehalts beim Elternunterhalt seit 2020, die für mehr Rechtssicherheit sorgt. Die unveränderte Struktur mit 15 Einkommensgruppen und bewährten Berechnungsmethoden bietet Kontinuität und Planbarkeit. Für die Praxis bedeutet dies: Die meisten bestehenden Unterhaltstitel passen sich automatisch an, während die moderaten Anpassungen sowohl Unterhaltsberechtigten als auch -pflichtigen eine verlässliche Basis für ihre Finanzplanung bieten.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