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ETC – Exchange Traded Commodities</w:t>
      </w:r>
    </w:p>
    <w:p>
      <w:r>
        <w:rPr>
          <w:i/>
        </w:rPr>
        <w:t>ETC Ratgeber: Rohstoff-Investitionen einfach erklärt</w:t>
      </w:r>
    </w:p>
    <w:p>
      <w:pPr>
        <w:pStyle w:val="Heading1"/>
      </w:pPr>
      <w:r>
        <w:t>ETC – Exchange Traded Commodities</w:t>
      </w:r>
    </w:p>
    <w:p>
      <w:r>
        <w:t>Exchange Traded Commodities ermöglichen Privatanlegern den einfachen Zugang zu Rohstoffinvestitionen, ohne physische Güter direkt erwerben zu müssen. ETCs sind Schuldverschreibungen, die an die Wertentwicklung von Rohstoffen gekoppelt sind und es Anlegern möglich machen, an der Wertentwicklung von Rohstoffen teilzuhaben, ohne sie direkt zu erwerben. Diese Finanzinstrumente haben sich seit ihrer Einführung zu einer beliebten Alternative für Rohstoffanlagen entwickelt. In Deutschland werden ETCs seit 2006 auf Edelmetalle an der Börse Frankfurt (auf Xetra) und mittlerweile auch auf der Zertifikatehandelsplattform Scoach gehandelt. Sie bieten Investoren eine flexible Möglichkeit, von Rohstoffpreisbewegungen zu profitieren und ihr Portfolio zu diversifizieren.</w:t>
      </w:r>
    </w:p>
    <w:p>
      <w:pPr>
        <w:pStyle w:val="Heading2"/>
      </w:pPr>
      <w:r>
        <w:t>Was sind ETCs und wie funktionieren sie?</w:t>
      </w:r>
    </w:p>
    <w:p>
      <w:r>
        <w:t>ETCs stehen für Exchange Traded Commodities und sind Schuldverschreibungen, die an die Wertentwicklung eines oder mehrerer Rohstoffpreise gekoppelt sind – entweder direkt an den Spot-Preis oder an einen Rohstoff-Future. ETCs sind eine Sonderform von Zertifikaten und unterscheiden sich dadurch deutlich von Exchange Traded Funds (ETFs). Im Gegensatz zu herkömmlichen Investmentfonds bieten sie eine direkte Exposition gegenüber Rohstoffpreisen.</w:t>
      </w:r>
    </w:p>
    <w:p>
      <w:r>
        <w:t>Die Rohstoffe, in die Sie mit ETCs investieren können, stammen aus verschiedenen Bereichen: Energieträger wie Erdöl oder Erdgas, industriell verwendete Rohstoffe wie Kupfer oder Zink, Edelmetalle wie Gold oder Silber, sowie Agrarrohstoffe – etwa Mais, Weizen oder Kakao. Diese breite Auswahl ermöglicht Anlegern eine gezielte Diversifikation in verschiedene Rohstoffsektoren und unterstützt das Risikomanagement innerhalb eines Portfolios.</w:t>
      </w:r>
    </w:p>
    <w:p>
      <w:r>
        <w:t>ETCs werden wie ETFs im Segment für Exchange Traded Funds und Exchange Traded Products der Deutschen Börse notiert und der Handel funktioniert ähnlich wie mit Exchange Traded Funds. Designated Sponsors haben sich verpflichtet, Anteile an Anleger auszugeben oder zurückzunehmen, was die Liquidität sichert. Ihre fortlaufende Quotierung mit Mindestvolumina bietet Preistransparenz und -sicherheit.</w:t>
      </w:r>
    </w:p>
    <w:p>
      <w:r>
        <w:t>Die Funktionsweise unterscheidet sich je nach zugrunde liegendem Rohstoff. Edelmetall-ETCs beziehen sich üblicherweise auf den entsprechenden Kassapreis, wodurch deren Preisbildung sehr transparent ist. Bei anderen Rohstoffen kommen komplexere Mechanismen zum Einsatz. ETCs auf Agrarrohstoffe, Öl oder Erdgas bilden in der Regel die Performance eines Terminkontrakts mit begrenzter Laufzeit ab. Der Emittent muss den Kontrakt vor Ablauf regelmäßig verkaufen und einen neuen erwerben – ein Prozess, der als „Rollover" bekannt ist und die Kosten des Produkts beeinflussen kann.</w:t>
      </w:r>
    </w:p>
    <w:p>
      <w:pPr>
        <w:pStyle w:val="Heading2"/>
      </w:pPr>
      <w:r>
        <w:t>Unterschiede zwischen ETCs und ETFs</w:t>
      </w:r>
    </w:p>
    <w:p>
      <w:r>
        <w:t>Der grundlegende Unterschied zwischen ETCs und ETFs liegt in ihrer rechtlichen Struktur. Der entscheidendste Unterschied besteht darin, dass ETCs die Rechtsform einer Inhaberschuldverschreibung haben, während ETFs Sondervermögen darstellen. Diese Unterscheidung hat wichtige Auswirkungen auf das Anlegerrisiko und sollte bei der Anlageentscheidung berücksichtigt werden.</w:t>
      </w:r>
    </w:p>
    <w:p>
      <w:r>
        <w:t>Das Sondervermögen von ETFs unterliegt juristischen Schutzvorschriften: Im Falle einer Insolvenz des ETF-Emittenten sind die Wertpapiere vor dem Zugriff der Gläubiger geschützt. Bei ETCs besteht hingegen ein Emittentenrisiko. Weil ETCs nicht zum Sondervermögen zählen, sind sie im Falle einer Insolvenz des Herausgebers nicht vor Gläubigerzugriffen geschützt – was im ungünstigsten Fall einen Totalverlust nach sich ziehen kann.</w:t>
      </w:r>
    </w:p>
    <w:p>
      <w:r>
        <w:t>ETFs müssen laut einer EU-weit geltenden Richtlinie ein Mindestmaß an Diversifikation aufweisen. Aus diesem Grund können Sie innerhalb der Europäischen Union keine ETF-Anteile kaufen, die sich nur auf einen einzelnen Rohstoff beziehen. ETCs füllen diese regulatorische Lücke und ermöglichen Investitionen in spezifische Einzelrohstoffe, was für spezialisierte Anlagestrategien von Vorteil sein kann.</w:t>
      </w:r>
    </w:p>
    <w:p>
      <w:r>
        <w:t>Die Kostenstrukturen unterscheiden sich ebenfalls zwischen den beiden Produkten. Die ETC-Kosten liegen in der Regel zwischen 0,00 und 0,59 Prozent pro Jahr, wobei in dieser Gesamtkostenquote Kosten wie Lagerhaltungs- und Managementgebühren sowie Versicherungsprämien enthalten sind. Zusätzliche Kosten können für die Verwahrung im Wertpapierdepot, für Transaktionsgebühren und zur Währungssicherung anfallen. ETFs hingegen haben oft ähnliche oder teilweise noch niedrigere Kostenquoten, bieten aber nicht die Möglichkeit, in einzelne Rohstoffe zu investieren.</w:t>
      </w:r>
    </w:p>
    <w:p>
      <w:pPr>
        <w:pStyle w:val="Heading2"/>
      </w:pPr>
      <w:r>
        <w:t>Besicherung und Sicherheitsaspekte</w:t>
      </w:r>
    </w:p>
    <w:p>
      <w:r>
        <w:t>Die Sicherheit von ETCs hängt maßgeblich von ihrer Besicherung ab. Es gibt zwei grundlegende Besicherungsmodelle: die physische Besicherung und die synthetische Besicherung.</w:t>
      </w:r>
    </w:p>
    <w:p>
      <w:r>
        <w:t>Bei der physischen Besicherung hält der Emittent oder ein von ihm beauftragter Verwahrstelle die tatsächlichen Rohstoffe oder Ansprüche auf diese. Dies ist etwa bei Edelmetall-ETCs der Fall, wo Gold, Silber oder andere Metalle in Tresoren lagern. Dieses Modell bietet maximale Transparenz und Nachverfolgbarkeit des Rohstoffs. Der Rohstoff ist rechtlich vom Vermögen des Emittenten getrennt und wird von unabhängigen Verwahrstellen gehalten.</w:t>
      </w:r>
    </w:p>
    <w:p>
      <w:r>
        <w:t>Bei der synthetischen Besicherung nutzt der Emittent Derivate wie Swaps, um die Wertentwicklung des Rohstoffs nachzubilden. Dies erfordert weniger physische Lagerhaltung und kann kostengünstiger sein, bringt aber zusätzliche Risiken mit sich. Der Kontrahent des Swaps muss solvabel bleiben, damit die Nachbildung funktioniert.</w:t>
      </w:r>
    </w:p>
    <w:p>
      <w:r>
        <w:t>Unabhängig vom Besicherungsmodell sollten Sie als Anleger die Bonität des Emittenten berücksichtigen. Rating-Agenturen bewerten die Kreditwürdigkeit von ETC-Emittenten, diese Informationen sind wichtig für die Risikoeinschätzung. Ferner ist der Schutz durch die Entschädigungsrichtlinie relevant: Während Einlagen bei Banken bis zu 100.000 Euro geschützt sind, können ETCs bei Insolvenz nicht auf diesen Schutz zählen.</w:t>
      </w:r>
    </w:p>
    <w:p>
      <w:pPr>
        <w:pStyle w:val="Heading2"/>
      </w:pPr>
      <w:r>
        <w:t>Gebühren, Kosten und Renditen</w:t>
      </w:r>
    </w:p>
    <w:p>
      <w:r>
        <w:t>Die Gesamtkostenquote (Total Expense Ratio, TER) ist bei ETCs ein wichtiger Faktor bei der Renditeberechnung. Die TER umfasst alle laufenden Verwaltungs- und Betriebskosten, die direkt oder indirekt von den Anlegern getragen werden. Bei ETCs sind dies typischerweise zwischen 0,10 und 0,50 Prozent pro Jahr, wobei Edelmetall-ETCs oft am unteren Ende dieses Spektrums liegen.</w:t>
      </w:r>
    </w:p>
    <w:p>
      <w:r>
        <w:t>Zusätzlich zur TER können Spread-Kosten entstehen – die Differenz zwischen Kauf- und Verkaufspreis beim Handel. Diese werden von den Designated Sponsors festgelegt und hängen von der Liquidität des Produkts ab. Bei hochliquiden ETCs sind die Spreads oft eng, bei weniger gehandelten Produkten können sie breiter ausfallen und damit Transaktionskosten erhöhen.</w:t>
      </w:r>
    </w:p>
    <w:p>
      <w:r>
        <w:t>Ein weiterer Kostenfaktor ist der Rollover-Effekt bei Terminkontrakten. Wenn ein ETC einen Terminkontrakt vor Ablauf verkauft und einen neuen kauft, können Kursdifferenzen entstehen, die die Rendite beeinflussen. In volatile Märkten oder bei ungünstiger Marktstruktur kann dieser sogenannte Roll-Ertrag negativ ausfallen. Dies ist besonders bei Rohstoff-ETCs auf Öl, Gas oder Agrarrohstoffe relevant.</w:t>
      </w:r>
    </w:p>
    <w:p>
      <w:r>
        <w:t>Die Renditen von ETCs orientieren sich primär an der Preisbewegung des zugrunde liegenden Rohstoffs. Zusätzlich zu Preissteigerungen können manche ETCs auch Erträge aus Finanzierungskosten oder Lending-Gebühren generieren, wenn physische Rohstoffe verliehen werden.</w:t>
      </w:r>
    </w:p>
    <w:p>
      <w:pPr>
        <w:pStyle w:val="Heading2"/>
      </w:pPr>
      <w:r>
        <w:t>Fazit</w:t>
      </w:r>
    </w:p>
    <w:p>
      <w:r>
        <w:t>Exchange Traded Commodities bieten Privatanlegern einen unkomplizierten Zugang zu Rohstoffmärkten. Sie ermöglichen Investitionen in einzelne Rohstoffe – eine Möglichkeit, die ETFs durch regulatorische Vorgaben nicht bieten. Die Besicherung, rechtliche Struktur und Kostenquoten unterscheiden sich je nach Produkt und Emittent erheblich.</w:t>
      </w:r>
    </w:p>
    <w:p>
      <w:r>
        <w:t>Vor einer Anlage sollten Sie die Bonität des Emittenten überprüfen, das Besicherungsmodell verstehen und die Kostenquoten mit Alternativen vergleichen. Das Emittentenrisiko von ETCs ist ein relevanter Faktor, den Sie bei der Risikoabwägung berücksichtigen müssen. Mit diesen Überlegungen können ETCs eine sinnvolle Ergänzung zu einem diversifizierten Portfolio sein und spezifische Anlagestrategien unterstützen.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