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Ferienwohnung</w:t>
      </w:r>
    </w:p>
    <w:p>
      <w:r>
        <w:rPr>
          <w:i/>
        </w:rPr>
        <w:t>Ferienwohnung vermieten: Steuern, Abzüge &amp; rechtliche Anforderungen</w:t>
      </w:r>
    </w:p>
    <w:p>
      <w:pPr>
        <w:pStyle w:val="Heading1"/>
      </w:pPr>
      <w:r>
        <w:t>Ferienwohnung: Steuerliche Pflichten und Optimierungsmöglichkeiten</w:t>
      </w:r>
    </w:p>
    <w:p>
      <w:r>
        <w:t>Die Vermietung einer Ferienwohnung bietet attraktive Renditechancen, bringt jedoch komplexe steuerliche Anforderungen mit sich. Vermieten Sie eine Einliegerwohnung oder Ferienwohnung möbliert, müssen Sie die Mieteinnahmen versteuern wie jeder andere Vermieter auch. Eine sachgerechte steuerliche Behandlung kann über wirtschaftlichen Erfolg oder Misserfolg des Vermietungsgeschäfts entscheiden. Dieser Leitfaden erläutert die wichtigsten Aspekte für Ferienwohnungsvermieter.</w:t>
      </w:r>
    </w:p>
    <w:p>
      <w:pPr>
        <w:pStyle w:val="Heading2"/>
      </w:pPr>
      <w:r>
        <w:t>Steuerliche Anmeldung und Formularpflichten</w:t>
      </w:r>
    </w:p>
    <w:p>
      <w:r>
        <w:t>In der Steuererklärung erfassen Sie alle Daten zur Ferienwohnungsvermietung auf dem Formular Anlage V-FeWo. Dieses Beiblatt ist die Grundlage für die steuerliche Behandlung Ihrer Vermietungseinkünfte. Sie müssen darin dokumentieren, an welchen Tagen die Wohnung zu welchem Preis vermietet war.</w:t>
      </w:r>
    </w:p>
    <w:p>
      <w:r>
        <w:t>Grundsätzlich müssen Sie die Anlage V-FeWo ausfüllen, wenn Sie mit Ihrer Ferienwohnung den Steuerfreibetrag überschreiten und eine Einkunftserzielungsabsicht nachweisen können. Beim ersten Vermietungsjahr fordert das Finanzamt regelmäßig den Vermittlungsvertrag als Nachweis an. Dokumentieren Sie außerdem genau, an welchen Tagen Sie die Wohnung selbst genutzt haben oder hätten nutzen können. Diese Aufzeichnungen sind für die Kostenaufteilung zwischen Vermietung und Eigennutzung entscheidend.</w:t>
      </w:r>
    </w:p>
    <w:p>
      <w:pPr>
        <w:pStyle w:val="Heading2"/>
      </w:pPr>
      <w:r>
        <w:t>Abschreibungsmöglichkeiten systematisch nutzen</w:t>
      </w:r>
    </w:p>
    <w:p>
      <w:r>
        <w:t>Die steuerliche Abschreibung (AfA – Absetzung für Abnutzung) stellt einen der wichtigsten Steuervorteile bei Ferienwohnungen dar. Sie ermöglicht es Vermietern, den Werteverlust der Immobilie und ihrer Ausstattung über längere Zeiträume als Betriebsausgaben geltend zu machen.</w:t>
      </w:r>
    </w:p>
    <w:p>
      <w:r>
        <w:t>Die Abschreibungssätze richten sich nach dem Baujahr:</w:t>
      </w:r>
    </w:p>
    <w:p>
      <w:pPr>
        <w:pStyle w:val="ListBullet"/>
      </w:pPr>
      <w:r>
        <w:rPr>
          <w:b/>
        </w:rPr>
        <w:t>Vor 1925 errichtete Gebäude</w:t>
      </w:r>
      <w:r>
        <w:t>: 40 Jahre Nutzungsdauer, jährlich 2,5 % des Immobilienwertes</w:t>
      </w:r>
    </w:p>
    <w:p>
      <w:pPr>
        <w:pStyle w:val="ListBullet"/>
      </w:pPr>
      <w:r>
        <w:rPr>
          <w:b/>
        </w:rPr>
        <w:t>Nach 1924 errichtete Gebäude</w:t>
      </w:r>
      <w:r>
        <w:t>: 50 Jahre Nutzungsdauer, jährlich 2,0 % des Immobilienwertes</w:t>
      </w:r>
    </w:p>
    <w:p>
      <w:pPr>
        <w:pStyle w:val="ListBullet"/>
      </w:pPr>
      <w:r>
        <w:rPr>
          <w:b/>
        </w:rPr>
        <w:t>Ab 2024 fertiggestellte Gebäude</w:t>
      </w:r>
      <w:r>
        <w:t>: 33 Jahre Nutzungsdauer, jährlich 3,0 % des Immobilienwertes (erhöhter Satz seit dem Jahressteuergesetz 2023)</w:t>
      </w:r>
    </w:p>
    <w:p>
      <w:r>
        <w:t>Neben der Gebäudestruktur können Sie auch Möbel und Einrichtung abschreiben. Typische Einrichtungsgegenstände wie Betten und Tische werden über 13 Jahre abgeschrieben (rund 7,7 % jährlich). Kücheneinrichtungen und Badausstattungen zählen zu beweglichen Wirtschaftsgütern mit individuellen Abschreibungssätzen. Elektronische Geräte wie Waschmaschinen, Kühlschränke, Fernseher und Computer werden regelmäßig über fünf bis zehn Jahre abgeschrieben, je nach konkrete Nutzungsdauer.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Wirtschaftsgut</w:t>
            </w:r>
          </w:p>
        </w:tc>
        <w:tc>
          <w:tcPr>
            <w:tcW w:type="dxa" w:w="3120"/>
          </w:tcPr>
          <w:p>
            <w:r>
              <w:rPr>
                <w:b/>
              </w:rPr>
              <w:t>Nutzungsdauer</w:t>
            </w:r>
          </w:p>
        </w:tc>
        <w:tc>
          <w:tcPr>
            <w:tcW w:type="dxa" w:w="3120"/>
          </w:tcPr>
          <w:p>
            <w:r>
              <w:rPr>
                <w:b/>
              </w:rPr>
              <w:t>Jährliche Abschreibung</w:t>
            </w:r>
          </w:p>
        </w:tc>
      </w:tr>
      <w:tr>
        <w:tc>
          <w:tcPr>
            <w:tcW w:type="dxa" w:w="3120"/>
          </w:tcPr>
          <w:p>
            <w:r>
              <w:t>Gebäude vor 1925</w:t>
            </w:r>
          </w:p>
        </w:tc>
        <w:tc>
          <w:tcPr>
            <w:tcW w:type="dxa" w:w="3120"/>
          </w:tcPr>
          <w:p>
            <w:r>
              <w:t>40 Jahre</w:t>
            </w:r>
          </w:p>
        </w:tc>
        <w:tc>
          <w:tcPr>
            <w:tcW w:type="dxa" w:w="3120"/>
          </w:tcPr>
          <w:p>
            <w:r>
              <w:t>2,5 %</w:t>
            </w:r>
          </w:p>
        </w:tc>
      </w:tr>
      <w:tr>
        <w:tc>
          <w:tcPr>
            <w:tcW w:type="dxa" w:w="3120"/>
          </w:tcPr>
          <w:p>
            <w:r>
              <w:t>Gebäude nach 1924</w:t>
            </w:r>
          </w:p>
        </w:tc>
        <w:tc>
          <w:tcPr>
            <w:tcW w:type="dxa" w:w="3120"/>
          </w:tcPr>
          <w:p>
            <w:r>
              <w:t>50 Jahre</w:t>
            </w:r>
          </w:p>
        </w:tc>
        <w:tc>
          <w:tcPr>
            <w:tcW w:type="dxa" w:w="3120"/>
          </w:tcPr>
          <w:p>
            <w:r>
              <w:t>2,0 %</w:t>
            </w:r>
          </w:p>
        </w:tc>
      </w:tr>
      <w:tr>
        <w:tc>
          <w:tcPr>
            <w:tcW w:type="dxa" w:w="3120"/>
          </w:tcPr>
          <w:p>
            <w:r>
              <w:t>Gebäude ab 2024</w:t>
            </w:r>
          </w:p>
        </w:tc>
        <w:tc>
          <w:tcPr>
            <w:tcW w:type="dxa" w:w="3120"/>
          </w:tcPr>
          <w:p>
            <w:r>
              <w:t>33 Jahre</w:t>
            </w:r>
          </w:p>
        </w:tc>
        <w:tc>
          <w:tcPr>
            <w:tcW w:type="dxa" w:w="3120"/>
          </w:tcPr>
          <w:p>
            <w:r>
              <w:t>3,0 %</w:t>
            </w:r>
          </w:p>
        </w:tc>
      </w:tr>
      <w:tr>
        <w:tc>
          <w:tcPr>
            <w:tcW w:type="dxa" w:w="3120"/>
          </w:tcPr>
          <w:p>
            <w:r>
              <w:t>Möbel (Betten, Tische)</w:t>
            </w:r>
          </w:p>
        </w:tc>
        <w:tc>
          <w:tcPr>
            <w:tcW w:type="dxa" w:w="3120"/>
          </w:tcPr>
          <w:p>
            <w:r>
              <w:t>13 Jahre</w:t>
            </w:r>
          </w:p>
        </w:tc>
        <w:tc>
          <w:tcPr>
            <w:tcW w:type="dxa" w:w="3120"/>
          </w:tcPr>
          <w:p>
            <w:r>
              <w:t>7,7 %</w:t>
            </w:r>
          </w:p>
        </w:tc>
      </w:tr>
      <w:tr>
        <w:tc>
          <w:tcPr>
            <w:tcW w:type="dxa" w:w="3120"/>
          </w:tcPr>
          <w:p>
            <w:r>
              <w:t>Elektronische Geräte</w:t>
            </w:r>
          </w:p>
        </w:tc>
        <w:tc>
          <w:tcPr>
            <w:tcW w:type="dxa" w:w="3120"/>
          </w:tcPr>
          <w:p>
            <w:r>
              <w:t>5–10 Jahre</w:t>
            </w:r>
          </w:p>
        </w:tc>
        <w:tc>
          <w:tcPr>
            <w:tcW w:type="dxa" w:w="3120"/>
          </w:tcPr>
          <w:p>
            <w:r>
              <w:t>10–20 %</w:t>
            </w:r>
          </w:p>
        </w:tc>
      </w:tr>
    </w:tbl>
    <w:p>
      <w:pPr>
        <w:pStyle w:val="Heading2"/>
      </w:pPr>
      <w:r>
        <w:t>Gewinnerzielungsabsicht nachweisen und Liebhaberei vermeiden</w:t>
      </w:r>
    </w:p>
    <w:p>
      <w:r>
        <w:t>Das Finanzamt prüft regelmäßig, ob Sie die Ferienwohnung tatsächlich mit Gewinnabsicht vermietest oder ob es sich um Liebhaberei handelt. Liebhaberei führt zum Verlust aller Steuervorteile. Die Gewinnerzielungsabsicht wird anhand der ortsüblichen Vermietungsquote beurteilt.</w:t>
      </w:r>
    </w:p>
    <w:p>
      <w:r>
        <w:t>Entscheidend ist: Sie sollten die Ferienwohnung an mindestens 75 Prozent der üblichen Miettage vor Ort vermieten. Die genaue Zahl erfragen Sie beim örtlichen Tourismusverband oder der Tourismusbehörde. Das Finanzamt bewertet die durchschnittliche Auslastung über einen zusammenhängenden Zeitraum von drei bis fünf Jahren. Eine Quote unter 75 % in einzelnen Jahren ist nicht automatisch problematisch, solange das mehrjährige Durchschnittsergebnis stimmt.</w:t>
      </w:r>
    </w:p>
    <w:p>
      <w:r>
        <w:t>Unterschreiten Sie diese Quote dauerhaft, droht eine Einstufung als Liebhaberei mit erheblichen steuerlichen Konsequenzen. Daher empfiehlt sich eine professionelle Analyse Ihrer Vermietungsquote, um Risiken frühzeitig zu erkennen.</w:t>
      </w:r>
    </w:p>
    <w:p>
      <w:pPr>
        <w:pStyle w:val="Heading2"/>
      </w:pPr>
      <w:r>
        <w:t>Kostenaufteilung bei teilweiser Eigennutzung</w:t>
      </w:r>
    </w:p>
    <w:p>
      <w:r>
        <w:t>Nutzen Sie die Ferienwohnung auch selbst, müssen sämtliche Kosten zwischen Vermietung und Privatnutzung aufgeteilt werden. Dies betrifft Schuldzinsen, Reparaturen, Nebenkosten und Abschreibungen gleichermaßen.</w:t>
      </w:r>
    </w:p>
    <w:p>
      <w:r>
        <w:t>Die Aufteilung erfolgt im Verhältnis der tatsächlichen Selbstnutzungs- und Vermietungszeiten. Aufenthalte für unmittelbar vermietungsbedingte Tätigkeiten wie Endreinigung, Schlüsselübergabe oder Schadensbeseitigung zählen nicht zur Eigennutzung. Lässt sich der zeitliche Umfang der tatsächlichen Selbstnutzung nicht exakt ermitteln, werden Kosten in den Leerstandsphasen zu je 50 Prozent der Vermietung und Eigennutzung zugeordnet.</w:t>
      </w:r>
    </w:p>
    <w:p>
      <w:r>
        <w:t>Die praktische Aufteilung verläuft nach diesem Schema:</w:t>
      </w:r>
    </w:p>
    <w:p>
      <w:pPr>
        <w:pStyle w:val="ListBullet"/>
      </w:pPr>
      <w:r>
        <w:rPr>
          <w:b/>
        </w:rPr>
        <w:t>Reine Vermietungskosten</w:t>
      </w:r>
      <w:r>
        <w:t>: 100 % absetzbar</w:t>
      </w:r>
    </w:p>
    <w:p>
      <w:pPr>
        <w:pStyle w:val="ListBullet"/>
      </w:pPr>
      <w:r>
        <w:rPr>
          <w:b/>
        </w:rPr>
        <w:t>Gemischte Kosten</w:t>
      </w:r>
      <w:r>
        <w:t>: Aufteilung nach tatsächlichen Nutzungstagen</w:t>
      </w:r>
    </w:p>
    <w:p>
      <w:pPr>
        <w:pStyle w:val="ListBullet"/>
      </w:pPr>
      <w:r>
        <w:rPr>
          <w:b/>
        </w:rPr>
        <w:t>Reine Eigennutzung</w:t>
      </w:r>
      <w:r>
        <w:t>: 0 % absetzbar</w:t>
      </w:r>
    </w:p>
    <w:p>
      <w:pPr>
        <w:pStyle w:val="ListBullet"/>
      </w:pPr>
      <w:r>
        <w:rPr>
          <w:b/>
        </w:rPr>
        <w:t>Leerstand</w:t>
      </w:r>
      <w:r>
        <w:t>: Aufteilung nach Verhältnis der tatsächlichen Nutzung</w:t>
      </w:r>
    </w:p>
    <w:p>
      <w:pPr>
        <w:pStyle w:val="Heading2"/>
      </w:pPr>
      <w:r>
        <w:t>Steuerliche Änderungen ab 2026</w:t>
      </w:r>
    </w:p>
    <w:p>
      <w:r>
        <w:t>Ab dem Jahr 2026 treten für Ferienwohnungsvermieter bedeutende Änderungen in Kraft. Die bisherigen pauschalen Steuervorteile werden erheblich reduziert. Bis einschließlich 2024 konnten private Vermieter möblierter Ferienunterkünfte mit Jahresumsätzen unter 77.700 Euro von großzügigen Pauschalregelungen profitieren.</w:t>
      </w:r>
    </w:p>
    <w:p>
      <w:r>
        <w:t>Diese Regelungen entfallen für Kurzzeitvermietungen ab 2025 (steuerliche Erfassung 2026). Das bedeutet konkret: Bei identischen Mieteinnahmen werden Sie künftig deutlich höhere Steuern zahlen müssen. Viele Vermieter sollten ihre Geschäftsmodelle überprüfen und sich ggf. beraten lassen, um ihre Rentabilität zu sichern.</w:t>
      </w:r>
    </w:p>
    <w:p>
      <w:pPr>
        <w:pStyle w:val="Heading2"/>
      </w:pPr>
      <w:r>
        <w:t>Fazit</w:t>
      </w:r>
    </w:p>
    <w:p>
      <w:r>
        <w:t>Die steuerliche Behandlung von Ferienwohnungen erfordert sorgfältige Planung, aussagekräftige Dokumentation und regelmäßige Überprüfung. Eine korrekt ausgefüllte Anlage V-FeWo, die optimale Nutzung von Abschreibungsmöglichkeiten und die sachgerechte Kostenaufteilung bei Eigennutzung bilden das Fundament einer steuerkonformen Vermietung. Mit den anstehenden Regeländerungen ab 2026 gewinnt eine professionelle steuerliche Beratung zusätzlich an Bedeutung, um Ihre Ferienwohnungsvermietung langfristig wirtschaftlich zu gestalten und unnötige Steuernachzahlungen zu vermeiden.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