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6B87" w14:textId="77777777" w:rsidR="00F51BD5" w:rsidRPr="00F51BD5" w:rsidRDefault="00F51BD5" w:rsidP="00F51BD5">
      <w:r w:rsidRPr="00F51BD5">
        <w:t># Fonds</w:t>
      </w:r>
    </w:p>
    <w:p w14:paraId="6918D024" w14:textId="77777777" w:rsidR="00F51BD5" w:rsidRPr="00F51BD5" w:rsidRDefault="00F51BD5" w:rsidP="00F51BD5">
      <w:r w:rsidRPr="00F51BD5">
        <w:t>Die Welt der Fonds bietet Ihnen vielfältige Möglichkeiten, Ihr Geld professionell anzulegen und dabei von den Erfahrungen versierter Fondsmanager zu profitieren. Während Aktienfonds überwiegend oder vollständig in Aktien investieren und Rentenfonds hauptsächlich Anleihen ins Portfolio aufnehmen, kombinieren Mischfonds beide Anlageklassen. Diese verschiedenen Fondsarten haben sich zu den Grundbausteinen moderner Geldanlage entwickelt und sprechen unterschiedliche Anlegertypen an.</w:t>
      </w:r>
    </w:p>
    <w:p w14:paraId="77F5D475" w14:textId="77777777" w:rsidR="00F51BD5" w:rsidRPr="00F51BD5" w:rsidRDefault="00F51BD5" w:rsidP="00F51BD5">
      <w:pPr>
        <w:rPr>
          <w:b/>
          <w:bCs/>
        </w:rPr>
      </w:pPr>
      <w:r w:rsidRPr="00F51BD5">
        <w:rPr>
          <w:b/>
          <w:bCs/>
        </w:rPr>
        <w:t>Die Hauptfondskategorien im Überblick</w:t>
      </w:r>
    </w:p>
    <w:p w14:paraId="2CE49579" w14:textId="77777777" w:rsidR="00F51BD5" w:rsidRPr="00F51BD5" w:rsidRDefault="00F51BD5" w:rsidP="00F51BD5">
      <w:r w:rsidRPr="00F51BD5">
        <w:t>Aktienfonds investieren überwiegend oder vollständig in börsennotierte Aktien. Das Ziel dieser Fonds ist es, an der wirtschaftlichen Entwicklung und dem Kurswachstum von Unternehmen zu partizipieren. Damit tragen Anleger in Aktienfonds das volle Marktrisiko der jeweiligen Aktienmärkte – werden aber im Gegenzug potenziell mit überdurchschnittlichen Renditen belohnt. Die durchschnittliche langfristige Rendite eines Aktienfonds-Sparplans lag in den letzten Jahren zwischen 3,1 und 8,0 Prozent.</w:t>
      </w:r>
    </w:p>
    <w:p w14:paraId="58471E4B" w14:textId="77777777" w:rsidR="00F51BD5" w:rsidRPr="00F51BD5" w:rsidRDefault="00F51BD5" w:rsidP="00F51BD5">
      <w:r w:rsidRPr="00F51BD5">
        <w:t>Rentenfonds investieren vor allem in Unternehmens- und Staatsanleihen, aber auch Pfandbriefe und Genussscheine. Diese Fondskategorie gilt traditionell als konservativer und eignet sich besonders für sicherheitsorientierte Anleger. Rentenfonds bieten in stabilen Zinsumfeldern berechenbare Erträge, leiden jedoch bei steigenden Zinsen oder Bonitätsrisiken.</w:t>
      </w:r>
    </w:p>
    <w:p w14:paraId="3B620D32" w14:textId="77777777" w:rsidR="00F51BD5" w:rsidRPr="00F51BD5" w:rsidRDefault="00F51BD5" w:rsidP="00F51BD5">
      <w:r w:rsidRPr="00F51BD5">
        <w:t>Mischfonds kombinieren verschiedene Anlageklassen miteinander und werden daher auch als Multi-Asset-Fonds bezeichnet. Sie investieren sowohl in Aktien als auch in Anleihen. Manche Mischfonds streuen zusätzlich Immobilien oder Rohstoffe ins Portfolio ein.</w:t>
      </w:r>
    </w:p>
    <w:p w14:paraId="3BA10ADC" w14:textId="77777777" w:rsidR="00F51BD5" w:rsidRPr="00F51BD5" w:rsidRDefault="00F51BD5" w:rsidP="00F51BD5">
      <w:r w:rsidRPr="00F51BD5">
        <w:t>Investmentfonds funktionieren nach einem einfachen Prinzip: Anleger legen ihr Geld nicht selbst an, sondern geben es einer Fondsgesellschaft. Diese bündelt das eingesammelte Kapital und ein Fondsmanager übernimmt die Anlage für den Anleger. Das Geld wird nach einer festgelegten Anlagestrategie und dem Grundsatz der Risikomischung in verschiedenen Vermögenswerten wie Wertpapieren, Geldmarktinstrumenten, Bankguthaben, derivativen Instrumenten oder Immobilien angelegt und professionell verwaltet.</w:t>
      </w:r>
    </w:p>
    <w:p w14:paraId="2C2A6FA4" w14:textId="77777777" w:rsidR="00F51BD5" w:rsidRPr="00F51BD5" w:rsidRDefault="00F51BD5" w:rsidP="00F51BD5">
      <w:pPr>
        <w:rPr>
          <w:b/>
          <w:bCs/>
        </w:rPr>
      </w:pPr>
      <w:r w:rsidRPr="00F51BD5">
        <w:rPr>
          <w:b/>
          <w:bCs/>
        </w:rPr>
        <w:t>Mischfonds als ausgewogene Anlageoption</w:t>
      </w:r>
    </w:p>
    <w:p w14:paraId="7309B89F" w14:textId="77777777" w:rsidR="00F51BD5" w:rsidRPr="00F51BD5" w:rsidRDefault="00F51BD5" w:rsidP="00F51BD5">
      <w:r w:rsidRPr="00F51BD5">
        <w:t>Mischfonds haben sich zu einer besonders beliebten Anlageklasse entwickelt. Ein Gutachten des Bundesverbandes für Geldanlage und Vermögensverwaltung (BVI) zeigt, dass Mischfonds von 2010 bis 2020 mit Zuflüssen von über 160 Milliarden Euro Rentenfonds (70,5 Milliarden) und Immobilienfonds (48 Milliarden) deutlich übertrafen. In Deutschland liegt der Marktanteil der gemischten Fonds bei 32 Prozent – nur Aktienfonds liegen mit 41 Prozent vor den Mischfonds.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274"/>
        <w:gridCol w:w="1634"/>
        <w:gridCol w:w="2891"/>
      </w:tblGrid>
      <w:tr w:rsidR="00F51BD5" w:rsidRPr="00F51BD5" w14:paraId="17791E47" w14:textId="77777777">
        <w:trPr>
          <w:tblHeader/>
          <w:tblCellSpacing w:w="15" w:type="dxa"/>
        </w:trPr>
        <w:tc>
          <w:tcPr>
            <w:tcW w:w="0" w:type="auto"/>
            <w:vAlign w:val="center"/>
            <w:hideMark/>
          </w:tcPr>
          <w:p w14:paraId="56FCA7FE" w14:textId="77777777" w:rsidR="00F51BD5" w:rsidRPr="00F51BD5" w:rsidRDefault="00F51BD5" w:rsidP="00F51BD5">
            <w:pPr>
              <w:rPr>
                <w:b/>
                <w:bCs/>
              </w:rPr>
            </w:pPr>
            <w:r w:rsidRPr="00F51BD5">
              <w:rPr>
                <w:b/>
                <w:bCs/>
              </w:rPr>
              <w:t>Mischfonds-Typ</w:t>
            </w:r>
          </w:p>
        </w:tc>
        <w:tc>
          <w:tcPr>
            <w:tcW w:w="0" w:type="auto"/>
            <w:vAlign w:val="center"/>
            <w:hideMark/>
          </w:tcPr>
          <w:p w14:paraId="35C59B68" w14:textId="77777777" w:rsidR="00F51BD5" w:rsidRPr="00F51BD5" w:rsidRDefault="00F51BD5" w:rsidP="00F51BD5">
            <w:pPr>
              <w:rPr>
                <w:b/>
                <w:bCs/>
              </w:rPr>
            </w:pPr>
            <w:r w:rsidRPr="00F51BD5">
              <w:rPr>
                <w:b/>
                <w:bCs/>
              </w:rPr>
              <w:t>Aktienanteil</w:t>
            </w:r>
          </w:p>
        </w:tc>
        <w:tc>
          <w:tcPr>
            <w:tcW w:w="0" w:type="auto"/>
            <w:vAlign w:val="center"/>
            <w:hideMark/>
          </w:tcPr>
          <w:p w14:paraId="78E7C057" w14:textId="77777777" w:rsidR="00F51BD5" w:rsidRPr="00F51BD5" w:rsidRDefault="00F51BD5" w:rsidP="00F51BD5">
            <w:pPr>
              <w:rPr>
                <w:b/>
                <w:bCs/>
              </w:rPr>
            </w:pPr>
            <w:r w:rsidRPr="00F51BD5">
              <w:rPr>
                <w:b/>
                <w:bCs/>
              </w:rPr>
              <w:t>Risikocharakter</w:t>
            </w:r>
          </w:p>
        </w:tc>
        <w:tc>
          <w:tcPr>
            <w:tcW w:w="0" w:type="auto"/>
            <w:vAlign w:val="center"/>
            <w:hideMark/>
          </w:tcPr>
          <w:p w14:paraId="6DCAC875" w14:textId="77777777" w:rsidR="00F51BD5" w:rsidRPr="00F51BD5" w:rsidRDefault="00F51BD5" w:rsidP="00F51BD5">
            <w:pPr>
              <w:rPr>
                <w:b/>
                <w:bCs/>
              </w:rPr>
            </w:pPr>
            <w:r w:rsidRPr="00F51BD5">
              <w:rPr>
                <w:b/>
                <w:bCs/>
              </w:rPr>
              <w:t>Geeignet für</w:t>
            </w:r>
          </w:p>
        </w:tc>
      </w:tr>
      <w:tr w:rsidR="00F51BD5" w:rsidRPr="00F51BD5" w14:paraId="1CB584F5" w14:textId="77777777">
        <w:trPr>
          <w:tblCellSpacing w:w="15" w:type="dxa"/>
        </w:trPr>
        <w:tc>
          <w:tcPr>
            <w:tcW w:w="0" w:type="auto"/>
            <w:vAlign w:val="center"/>
            <w:hideMark/>
          </w:tcPr>
          <w:p w14:paraId="1C8B4151" w14:textId="77777777" w:rsidR="00F51BD5" w:rsidRPr="00F51BD5" w:rsidRDefault="00F51BD5" w:rsidP="00F51BD5">
            <w:r w:rsidRPr="00F51BD5">
              <w:t>Defensive Mischfonds</w:t>
            </w:r>
          </w:p>
        </w:tc>
        <w:tc>
          <w:tcPr>
            <w:tcW w:w="0" w:type="auto"/>
            <w:vAlign w:val="center"/>
            <w:hideMark/>
          </w:tcPr>
          <w:p w14:paraId="25558AC2" w14:textId="77777777" w:rsidR="00F51BD5" w:rsidRPr="00F51BD5" w:rsidRDefault="00F51BD5" w:rsidP="00F51BD5">
            <w:r w:rsidRPr="00F51BD5">
              <w:t>Unter 30%</w:t>
            </w:r>
          </w:p>
        </w:tc>
        <w:tc>
          <w:tcPr>
            <w:tcW w:w="0" w:type="auto"/>
            <w:vAlign w:val="center"/>
            <w:hideMark/>
          </w:tcPr>
          <w:p w14:paraId="5DB8EF25" w14:textId="77777777" w:rsidR="00F51BD5" w:rsidRPr="00F51BD5" w:rsidRDefault="00F51BD5" w:rsidP="00F51BD5">
            <w:r w:rsidRPr="00F51BD5">
              <w:t>Niedrig</w:t>
            </w:r>
          </w:p>
        </w:tc>
        <w:tc>
          <w:tcPr>
            <w:tcW w:w="0" w:type="auto"/>
            <w:vAlign w:val="center"/>
            <w:hideMark/>
          </w:tcPr>
          <w:p w14:paraId="1ABB40E6" w14:textId="77777777" w:rsidR="00F51BD5" w:rsidRPr="00F51BD5" w:rsidRDefault="00F51BD5" w:rsidP="00F51BD5">
            <w:r w:rsidRPr="00F51BD5">
              <w:t>Sicherheitsorientierte Anleger</w:t>
            </w:r>
          </w:p>
        </w:tc>
      </w:tr>
      <w:tr w:rsidR="00F51BD5" w:rsidRPr="00F51BD5" w14:paraId="3BD6C2EE" w14:textId="77777777">
        <w:trPr>
          <w:tblCellSpacing w:w="15" w:type="dxa"/>
        </w:trPr>
        <w:tc>
          <w:tcPr>
            <w:tcW w:w="0" w:type="auto"/>
            <w:vAlign w:val="center"/>
            <w:hideMark/>
          </w:tcPr>
          <w:p w14:paraId="7ABA76D4" w14:textId="77777777" w:rsidR="00F51BD5" w:rsidRPr="00F51BD5" w:rsidRDefault="00F51BD5" w:rsidP="00F51BD5">
            <w:r w:rsidRPr="00F51BD5">
              <w:t>Ausgewogene Mischfonds</w:t>
            </w:r>
          </w:p>
        </w:tc>
        <w:tc>
          <w:tcPr>
            <w:tcW w:w="0" w:type="auto"/>
            <w:vAlign w:val="center"/>
            <w:hideMark/>
          </w:tcPr>
          <w:p w14:paraId="5E6D9C53" w14:textId="77777777" w:rsidR="00F51BD5" w:rsidRPr="00F51BD5" w:rsidRDefault="00F51BD5" w:rsidP="00F51BD5">
            <w:r w:rsidRPr="00F51BD5">
              <w:t>40–60%</w:t>
            </w:r>
          </w:p>
        </w:tc>
        <w:tc>
          <w:tcPr>
            <w:tcW w:w="0" w:type="auto"/>
            <w:vAlign w:val="center"/>
            <w:hideMark/>
          </w:tcPr>
          <w:p w14:paraId="2E12F8FD" w14:textId="77777777" w:rsidR="00F51BD5" w:rsidRPr="00F51BD5" w:rsidRDefault="00F51BD5" w:rsidP="00F51BD5">
            <w:r w:rsidRPr="00F51BD5">
              <w:t>Mittel</w:t>
            </w:r>
          </w:p>
        </w:tc>
        <w:tc>
          <w:tcPr>
            <w:tcW w:w="0" w:type="auto"/>
            <w:vAlign w:val="center"/>
            <w:hideMark/>
          </w:tcPr>
          <w:p w14:paraId="28E6DDC6" w14:textId="77777777" w:rsidR="00F51BD5" w:rsidRPr="00F51BD5" w:rsidRDefault="00F51BD5" w:rsidP="00F51BD5">
            <w:r w:rsidRPr="00F51BD5">
              <w:t>Ausgewogene Anleger</w:t>
            </w:r>
          </w:p>
        </w:tc>
      </w:tr>
      <w:tr w:rsidR="00F51BD5" w:rsidRPr="00F51BD5" w14:paraId="62E081FB" w14:textId="77777777">
        <w:trPr>
          <w:tblCellSpacing w:w="15" w:type="dxa"/>
        </w:trPr>
        <w:tc>
          <w:tcPr>
            <w:tcW w:w="0" w:type="auto"/>
            <w:vAlign w:val="center"/>
            <w:hideMark/>
          </w:tcPr>
          <w:p w14:paraId="390101AC" w14:textId="77777777" w:rsidR="00F51BD5" w:rsidRPr="00F51BD5" w:rsidRDefault="00F51BD5" w:rsidP="00F51BD5">
            <w:r w:rsidRPr="00F51BD5">
              <w:t>Dynamische Mischfonds</w:t>
            </w:r>
          </w:p>
        </w:tc>
        <w:tc>
          <w:tcPr>
            <w:tcW w:w="0" w:type="auto"/>
            <w:vAlign w:val="center"/>
            <w:hideMark/>
          </w:tcPr>
          <w:p w14:paraId="76A9FBD2" w14:textId="77777777" w:rsidR="00F51BD5" w:rsidRPr="00F51BD5" w:rsidRDefault="00F51BD5" w:rsidP="00F51BD5">
            <w:r w:rsidRPr="00F51BD5">
              <w:t>Über 70%</w:t>
            </w:r>
          </w:p>
        </w:tc>
        <w:tc>
          <w:tcPr>
            <w:tcW w:w="0" w:type="auto"/>
            <w:vAlign w:val="center"/>
            <w:hideMark/>
          </w:tcPr>
          <w:p w14:paraId="722EAD68" w14:textId="77777777" w:rsidR="00F51BD5" w:rsidRPr="00F51BD5" w:rsidRDefault="00F51BD5" w:rsidP="00F51BD5">
            <w:r w:rsidRPr="00F51BD5">
              <w:t>Hoch</w:t>
            </w:r>
          </w:p>
        </w:tc>
        <w:tc>
          <w:tcPr>
            <w:tcW w:w="0" w:type="auto"/>
            <w:vAlign w:val="center"/>
            <w:hideMark/>
          </w:tcPr>
          <w:p w14:paraId="03BF7462" w14:textId="77777777" w:rsidR="00F51BD5" w:rsidRPr="00F51BD5" w:rsidRDefault="00F51BD5" w:rsidP="00F51BD5">
            <w:r w:rsidRPr="00F51BD5">
              <w:t>Renditeorientierte Anleger</w:t>
            </w:r>
          </w:p>
        </w:tc>
      </w:tr>
    </w:tbl>
    <w:p w14:paraId="59E764BB" w14:textId="77777777" w:rsidR="00F51BD5" w:rsidRPr="00F51BD5" w:rsidRDefault="00F51BD5" w:rsidP="00F51BD5">
      <w:r w:rsidRPr="00F51BD5">
        <w:t xml:space="preserve">Je nach Aktienquote sind Mischfonds defensiv, ausgewogen oder offensiv. Grundsätzlich gilt: Ein höherer Aktienanteil bedeutet mehr Risiko, ein höherer Rentenanteil verspricht mehr Sicherheit. Bei flexiblen Mischfonds kann sich die Vermögensverteilung verändern. Das aktive </w:t>
      </w:r>
      <w:r w:rsidRPr="00F51BD5">
        <w:lastRenderedPageBreak/>
        <w:t>Fondsmanagement passt den Fonds mit Blick auf die aktuelle Börsensituation an, um theoretisch die optimale Rendite zu erzielen.</w:t>
      </w:r>
    </w:p>
    <w:p w14:paraId="1D103F04" w14:textId="77777777" w:rsidR="00F51BD5" w:rsidRPr="00F51BD5" w:rsidRDefault="00F51BD5" w:rsidP="00F51BD5">
      <w:pPr>
        <w:rPr>
          <w:b/>
          <w:bCs/>
        </w:rPr>
      </w:pPr>
      <w:r w:rsidRPr="00F51BD5">
        <w:rPr>
          <w:b/>
          <w:bCs/>
        </w:rPr>
        <w:t>Chancen und Vorteile von Fondsinvestments</w:t>
      </w:r>
    </w:p>
    <w:p w14:paraId="134E3135" w14:textId="77777777" w:rsidR="00F51BD5" w:rsidRPr="00F51BD5" w:rsidRDefault="00F51BD5" w:rsidP="00F51BD5">
      <w:r w:rsidRPr="00F51BD5">
        <w:t>Fondsanlagen bieten mehrere Vorteile: eine große Auswahl an Investitionsmöglichkeiten, Diversifikation und Transparenz. Besonders für Einsteiger sind Investmentfonds geeignet, da das Investment sehr leicht ist. Sie müssen sich nur einen Fonds aussuchen und Geld einzahlen. Den Rest erledigt der Fondsmanager für Sie.</w:t>
      </w:r>
    </w:p>
    <w:p w14:paraId="39C26CEF" w14:textId="77777777" w:rsidR="00F51BD5" w:rsidRPr="00F51BD5" w:rsidRDefault="00F51BD5" w:rsidP="00F51BD5">
      <w:r w:rsidRPr="00F51BD5">
        <w:t>Die Diversifikation senkt das Risiko. Der Fondsmanager muss sich an bestimmte Anlagerichtlinien halten. In den meisten Fällen ist der Maximalanteil einzelner Wertpapiere am Portfolio begrenzt. Damit wird das Kapital breit gestreut und das Risiko gesenkt. Im Gegensatz zu einzelnen Aktien ist ein Fonds nicht vom Erfolg eines bestimmten Unternehmens abhängig.</w:t>
      </w:r>
    </w:p>
    <w:p w14:paraId="72D9ECE1" w14:textId="77777777" w:rsidR="00F51BD5" w:rsidRPr="00F51BD5" w:rsidRDefault="00F51BD5" w:rsidP="00F51BD5">
      <w:r w:rsidRPr="00F51BD5">
        <w:t>Fondsgesellschaften unterliegen in Deutschland strengen Transparenzregeln. Sie müssen regelmäßig offenlegen, in welche Anlagen sie Ihr Geld investieren. Diese Transparenz ermöglicht es Anlegern, jederzeit nachzuvollziehen, wohin ihr Geld fließt und wie sich das Portfolio entwickelt.</w:t>
      </w:r>
    </w:p>
    <w:p w14:paraId="2D616EB2" w14:textId="77777777" w:rsidR="00F51BD5" w:rsidRPr="00F51BD5" w:rsidRDefault="00F51BD5" w:rsidP="00F51BD5">
      <w:r w:rsidRPr="00F51BD5">
        <w:t>Das Sondervermögen-Prinzip bietet einen weiteren wichtigen Schutz: Das Kapital der Investoren geht nicht in das Eigentum der Fondsgesellschaft über, sondern wird als Sondervermögen behandelt, das selbst bei einer Insolvenz der Kapitalanlagegesellschaft nicht berührt werden darf. Jedes Sondervermögen ist damit sowohl von den Wertänderungen anderer Fonds der Investmentgesellschaft als auch vor dem Zugriff der Investmentgesellschaft und ihrer Gläubiger (auch im Insolvenzfall) geschützt.</w:t>
      </w:r>
    </w:p>
    <w:p w14:paraId="0DE07F5B" w14:textId="77777777" w:rsidR="00F51BD5" w:rsidRPr="00F51BD5" w:rsidRDefault="00F51BD5" w:rsidP="00F51BD5">
      <w:pPr>
        <w:rPr>
          <w:b/>
          <w:bCs/>
        </w:rPr>
      </w:pPr>
      <w:r w:rsidRPr="00F51BD5">
        <w:rPr>
          <w:b/>
          <w:bCs/>
        </w:rPr>
        <w:t>Risiken verstehen und richtig einschätzen</w:t>
      </w:r>
    </w:p>
    <w:p w14:paraId="78826D9E" w14:textId="77777777" w:rsidR="00F51BD5" w:rsidRPr="00F51BD5" w:rsidRDefault="00F51BD5" w:rsidP="00F51BD5">
      <w:r w:rsidRPr="00F51BD5">
        <w:t>Fondsanlagen unterliegen mehreren Risiken, darunter unternehmensspezifische Risiken, gesamtwirtschaftliche Risiken sowie Timing-Risiken. Das Marktrisiko ist die wichtigste Risikoform. Darunter versteht man das Risiko, dass der Investmentfonds an Wert verliert, weil die im Fonds enthaltenen Wertpapiere im Kurs schwanken. Je nach Fondsart verfügt ein Fonds über mehr oder weniger Marktrisiko – Aktienfonds weisen typischerweise ein höheres Marktrisiko auf als Anleihenfonds.</w:t>
      </w:r>
    </w:p>
    <w:p w14:paraId="3EB44301" w14:textId="77777777" w:rsidR="00F51BD5" w:rsidRPr="00F51BD5" w:rsidRDefault="00F51BD5" w:rsidP="00F51BD5">
      <w:r w:rsidRPr="00F51BD5">
        <w:t>Das aktive Management ist gleichzeitig Vorteil und Nachteil. Mit der Verwaltung gehen entsprechend hohe Kosten einher, die sich negativ auf die Rendite auswirken. Durch die breite Streuung wird zwar das Risiko eines negativen Einbruchs verringert – im umgekehrten Fall werden aber auch positive Kurssprünge einzelner Anlagewerte nicht vollständig ausgenutzt, sondern von anderen, durchschnittlich performenden Anlagewerten ausgeglichen.</w:t>
      </w:r>
    </w:p>
    <w:p w14:paraId="247B59E7" w14:textId="77777777" w:rsidR="00F51BD5" w:rsidRPr="00F51BD5" w:rsidRDefault="00F51BD5" w:rsidP="00F51BD5">
      <w:r w:rsidRPr="00F51BD5">
        <w:t>Gerade bei Aktienfonds muss der Investor berücksichtigen, dass Aktienkurse sich auch über längere Zeiträume negativ entwickeln können und somit auch der Wert des Fonds schrumpft. Bei einer langfristigen Anlage über beispielsweise 10 Jahre hinweg ist das Risiko jedoch relativ gering, und Anleger müssen in der Regel kaum mit Verlusten rechnen.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3276"/>
        <w:gridCol w:w="1023"/>
        <w:gridCol w:w="1874"/>
      </w:tblGrid>
      <w:tr w:rsidR="00F51BD5" w:rsidRPr="00F51BD5" w14:paraId="5F4F48C7" w14:textId="77777777">
        <w:trPr>
          <w:tblHeader/>
          <w:tblCellSpacing w:w="15" w:type="dxa"/>
        </w:trPr>
        <w:tc>
          <w:tcPr>
            <w:tcW w:w="0" w:type="auto"/>
            <w:vAlign w:val="center"/>
            <w:hideMark/>
          </w:tcPr>
          <w:p w14:paraId="2B34B2E9" w14:textId="77777777" w:rsidR="00F51BD5" w:rsidRPr="00F51BD5" w:rsidRDefault="00F51BD5" w:rsidP="00F51BD5">
            <w:pPr>
              <w:rPr>
                <w:b/>
                <w:bCs/>
              </w:rPr>
            </w:pPr>
            <w:r w:rsidRPr="00F51BD5">
              <w:rPr>
                <w:b/>
                <w:bCs/>
              </w:rPr>
              <w:t>Risikoklasse</w:t>
            </w:r>
          </w:p>
        </w:tc>
        <w:tc>
          <w:tcPr>
            <w:tcW w:w="0" w:type="auto"/>
            <w:vAlign w:val="center"/>
            <w:hideMark/>
          </w:tcPr>
          <w:p w14:paraId="1FC04CC5" w14:textId="77777777" w:rsidR="00F51BD5" w:rsidRPr="00F51BD5" w:rsidRDefault="00F51BD5" w:rsidP="00F51BD5">
            <w:pPr>
              <w:rPr>
                <w:b/>
                <w:bCs/>
              </w:rPr>
            </w:pPr>
            <w:r w:rsidRPr="00F51BD5">
              <w:rPr>
                <w:b/>
                <w:bCs/>
              </w:rPr>
              <w:t>Fondstyp</w:t>
            </w:r>
          </w:p>
        </w:tc>
        <w:tc>
          <w:tcPr>
            <w:tcW w:w="0" w:type="auto"/>
            <w:vAlign w:val="center"/>
            <w:hideMark/>
          </w:tcPr>
          <w:p w14:paraId="2F4DD6EB" w14:textId="77777777" w:rsidR="00F51BD5" w:rsidRPr="00F51BD5" w:rsidRDefault="00F51BD5" w:rsidP="00F51BD5">
            <w:pPr>
              <w:rPr>
                <w:b/>
                <w:bCs/>
              </w:rPr>
            </w:pPr>
            <w:r w:rsidRPr="00F51BD5">
              <w:rPr>
                <w:b/>
                <w:bCs/>
              </w:rPr>
              <w:t>Risiko</w:t>
            </w:r>
          </w:p>
        </w:tc>
        <w:tc>
          <w:tcPr>
            <w:tcW w:w="0" w:type="auto"/>
            <w:vAlign w:val="center"/>
            <w:hideMark/>
          </w:tcPr>
          <w:p w14:paraId="583AB56F" w14:textId="77777777" w:rsidR="00F51BD5" w:rsidRPr="00F51BD5" w:rsidRDefault="00F51BD5" w:rsidP="00F51BD5">
            <w:pPr>
              <w:rPr>
                <w:b/>
                <w:bCs/>
              </w:rPr>
            </w:pPr>
            <w:r w:rsidRPr="00F51BD5">
              <w:rPr>
                <w:b/>
                <w:bCs/>
              </w:rPr>
              <w:t>Erwartete Rendite</w:t>
            </w:r>
          </w:p>
        </w:tc>
      </w:tr>
      <w:tr w:rsidR="00F51BD5" w:rsidRPr="00F51BD5" w14:paraId="5D18EF89" w14:textId="77777777">
        <w:trPr>
          <w:tblCellSpacing w:w="15" w:type="dxa"/>
        </w:trPr>
        <w:tc>
          <w:tcPr>
            <w:tcW w:w="0" w:type="auto"/>
            <w:vAlign w:val="center"/>
            <w:hideMark/>
          </w:tcPr>
          <w:p w14:paraId="7FA7D1E1" w14:textId="77777777" w:rsidR="00F51BD5" w:rsidRPr="00F51BD5" w:rsidRDefault="00F51BD5" w:rsidP="00F51BD5">
            <w:r w:rsidRPr="00F51BD5">
              <w:t>1–2</w:t>
            </w:r>
          </w:p>
        </w:tc>
        <w:tc>
          <w:tcPr>
            <w:tcW w:w="0" w:type="auto"/>
            <w:vAlign w:val="center"/>
            <w:hideMark/>
          </w:tcPr>
          <w:p w14:paraId="642BB1E7" w14:textId="77777777" w:rsidR="00F51BD5" w:rsidRPr="00F51BD5" w:rsidRDefault="00F51BD5" w:rsidP="00F51BD5">
            <w:r w:rsidRPr="00F51BD5">
              <w:t>Geldmarkt-, Rentenfonds</w:t>
            </w:r>
          </w:p>
        </w:tc>
        <w:tc>
          <w:tcPr>
            <w:tcW w:w="0" w:type="auto"/>
            <w:vAlign w:val="center"/>
            <w:hideMark/>
          </w:tcPr>
          <w:p w14:paraId="7B54CCD9" w14:textId="77777777" w:rsidR="00F51BD5" w:rsidRPr="00F51BD5" w:rsidRDefault="00F51BD5" w:rsidP="00F51BD5">
            <w:r w:rsidRPr="00F51BD5">
              <w:t>Niedrig</w:t>
            </w:r>
          </w:p>
        </w:tc>
        <w:tc>
          <w:tcPr>
            <w:tcW w:w="0" w:type="auto"/>
            <w:vAlign w:val="center"/>
            <w:hideMark/>
          </w:tcPr>
          <w:p w14:paraId="7F438A2D" w14:textId="77777777" w:rsidR="00F51BD5" w:rsidRPr="00F51BD5" w:rsidRDefault="00F51BD5" w:rsidP="00F51BD5">
            <w:r w:rsidRPr="00F51BD5">
              <w:t>2–4%</w:t>
            </w:r>
          </w:p>
        </w:tc>
      </w:tr>
      <w:tr w:rsidR="00F51BD5" w:rsidRPr="00F51BD5" w14:paraId="55A68032" w14:textId="77777777">
        <w:trPr>
          <w:tblCellSpacing w:w="15" w:type="dxa"/>
        </w:trPr>
        <w:tc>
          <w:tcPr>
            <w:tcW w:w="0" w:type="auto"/>
            <w:vAlign w:val="center"/>
            <w:hideMark/>
          </w:tcPr>
          <w:p w14:paraId="20AA391B" w14:textId="77777777" w:rsidR="00F51BD5" w:rsidRPr="00F51BD5" w:rsidRDefault="00F51BD5" w:rsidP="00F51BD5">
            <w:r w:rsidRPr="00F51BD5">
              <w:t>3–4</w:t>
            </w:r>
          </w:p>
        </w:tc>
        <w:tc>
          <w:tcPr>
            <w:tcW w:w="0" w:type="auto"/>
            <w:vAlign w:val="center"/>
            <w:hideMark/>
          </w:tcPr>
          <w:p w14:paraId="3D5D8E96" w14:textId="77777777" w:rsidR="00F51BD5" w:rsidRPr="00F51BD5" w:rsidRDefault="00F51BD5" w:rsidP="00F51BD5">
            <w:r w:rsidRPr="00F51BD5">
              <w:t>Mischfonds, globale Aktienfonds</w:t>
            </w:r>
          </w:p>
        </w:tc>
        <w:tc>
          <w:tcPr>
            <w:tcW w:w="0" w:type="auto"/>
            <w:vAlign w:val="center"/>
            <w:hideMark/>
          </w:tcPr>
          <w:p w14:paraId="4933D8CC" w14:textId="77777777" w:rsidR="00F51BD5" w:rsidRPr="00F51BD5" w:rsidRDefault="00F51BD5" w:rsidP="00F51BD5">
            <w:r w:rsidRPr="00F51BD5">
              <w:t>Mittel</w:t>
            </w:r>
          </w:p>
        </w:tc>
        <w:tc>
          <w:tcPr>
            <w:tcW w:w="0" w:type="auto"/>
            <w:vAlign w:val="center"/>
            <w:hideMark/>
          </w:tcPr>
          <w:p w14:paraId="6510EED0" w14:textId="77777777" w:rsidR="00F51BD5" w:rsidRPr="00F51BD5" w:rsidRDefault="00F51BD5" w:rsidP="00F51BD5">
            <w:r w:rsidRPr="00F51BD5">
              <w:t>4–7%</w:t>
            </w:r>
          </w:p>
        </w:tc>
      </w:tr>
      <w:tr w:rsidR="00F51BD5" w:rsidRPr="00F51BD5" w14:paraId="79F4FB43" w14:textId="77777777">
        <w:trPr>
          <w:tblCellSpacing w:w="15" w:type="dxa"/>
        </w:trPr>
        <w:tc>
          <w:tcPr>
            <w:tcW w:w="0" w:type="auto"/>
            <w:vAlign w:val="center"/>
            <w:hideMark/>
          </w:tcPr>
          <w:p w14:paraId="6F90E7CF" w14:textId="77777777" w:rsidR="00F51BD5" w:rsidRPr="00F51BD5" w:rsidRDefault="00F51BD5" w:rsidP="00F51BD5">
            <w:r w:rsidRPr="00F51BD5">
              <w:lastRenderedPageBreak/>
              <w:t>5–6</w:t>
            </w:r>
          </w:p>
        </w:tc>
        <w:tc>
          <w:tcPr>
            <w:tcW w:w="0" w:type="auto"/>
            <w:vAlign w:val="center"/>
            <w:hideMark/>
          </w:tcPr>
          <w:p w14:paraId="2519F4C0" w14:textId="77777777" w:rsidR="00F51BD5" w:rsidRPr="00F51BD5" w:rsidRDefault="00F51BD5" w:rsidP="00F51BD5">
            <w:r w:rsidRPr="00F51BD5">
              <w:t>Schwellenländer-, Branchenfonds</w:t>
            </w:r>
          </w:p>
        </w:tc>
        <w:tc>
          <w:tcPr>
            <w:tcW w:w="0" w:type="auto"/>
            <w:vAlign w:val="center"/>
            <w:hideMark/>
          </w:tcPr>
          <w:p w14:paraId="6FCF29A9" w14:textId="77777777" w:rsidR="00F51BD5" w:rsidRPr="00F51BD5" w:rsidRDefault="00F51BD5" w:rsidP="00F51BD5">
            <w:r w:rsidRPr="00F51BD5">
              <w:t>Hoch</w:t>
            </w:r>
          </w:p>
        </w:tc>
        <w:tc>
          <w:tcPr>
            <w:tcW w:w="0" w:type="auto"/>
            <w:vAlign w:val="center"/>
            <w:hideMark/>
          </w:tcPr>
          <w:p w14:paraId="797E3645" w14:textId="77777777" w:rsidR="00F51BD5" w:rsidRPr="00F51BD5" w:rsidRDefault="00F51BD5" w:rsidP="00F51BD5">
            <w:r w:rsidRPr="00F51BD5">
              <w:t>6–10%+</w:t>
            </w:r>
          </w:p>
        </w:tc>
      </w:tr>
      <w:tr w:rsidR="00F51BD5" w:rsidRPr="00F51BD5" w14:paraId="0D09C20D" w14:textId="77777777">
        <w:trPr>
          <w:tblCellSpacing w:w="15" w:type="dxa"/>
        </w:trPr>
        <w:tc>
          <w:tcPr>
            <w:tcW w:w="0" w:type="auto"/>
            <w:vAlign w:val="center"/>
            <w:hideMark/>
          </w:tcPr>
          <w:p w14:paraId="46581F78" w14:textId="77777777" w:rsidR="00F51BD5" w:rsidRPr="00F51BD5" w:rsidRDefault="00F51BD5" w:rsidP="00F51BD5">
            <w:r w:rsidRPr="00F51BD5">
              <w:t>7</w:t>
            </w:r>
          </w:p>
        </w:tc>
        <w:tc>
          <w:tcPr>
            <w:tcW w:w="0" w:type="auto"/>
            <w:vAlign w:val="center"/>
            <w:hideMark/>
          </w:tcPr>
          <w:p w14:paraId="3DBC0840" w14:textId="77777777" w:rsidR="00F51BD5" w:rsidRPr="00F51BD5" w:rsidRDefault="00F51BD5" w:rsidP="00F51BD5">
            <w:r w:rsidRPr="00F51BD5">
              <w:t>Spekulative Fonds</w:t>
            </w:r>
          </w:p>
        </w:tc>
        <w:tc>
          <w:tcPr>
            <w:tcW w:w="0" w:type="auto"/>
            <w:vAlign w:val="center"/>
            <w:hideMark/>
          </w:tcPr>
          <w:p w14:paraId="719547EE" w14:textId="77777777" w:rsidR="00F51BD5" w:rsidRPr="00F51BD5" w:rsidRDefault="00F51BD5" w:rsidP="00F51BD5">
            <w:r w:rsidRPr="00F51BD5">
              <w:t>Sehr hoch</w:t>
            </w:r>
          </w:p>
        </w:tc>
        <w:tc>
          <w:tcPr>
            <w:tcW w:w="0" w:type="auto"/>
            <w:vAlign w:val="center"/>
            <w:hideMark/>
          </w:tcPr>
          <w:p w14:paraId="06F556A6" w14:textId="77777777" w:rsidR="00F51BD5" w:rsidRPr="00F51BD5" w:rsidRDefault="00F51BD5" w:rsidP="00F51BD5">
            <w:r w:rsidRPr="00F51BD5">
              <w:t>Unvorhersagbar</w:t>
            </w:r>
          </w:p>
        </w:tc>
      </w:tr>
    </w:tbl>
    <w:p w14:paraId="4A66127C" w14:textId="77777777" w:rsidR="00F51BD5" w:rsidRPr="00F51BD5" w:rsidRDefault="00F51BD5" w:rsidP="00F51BD5">
      <w:pPr>
        <w:rPr>
          <w:b/>
          <w:bCs/>
        </w:rPr>
      </w:pPr>
      <w:r w:rsidRPr="00F51BD5">
        <w:rPr>
          <w:b/>
          <w:bCs/>
        </w:rPr>
        <w:t>Kosten im Blick behalten</w:t>
      </w:r>
    </w:p>
    <w:p w14:paraId="48E00DDE" w14:textId="77777777" w:rsidR="00F51BD5" w:rsidRPr="00F51BD5" w:rsidRDefault="00F51BD5" w:rsidP="00F51BD5">
      <w:r w:rsidRPr="00F51BD5">
        <w:t>Mischfonds sind mit verschiedenen Gebühren verbunden. Zu rechnen ist mit einem Ausgabeaufschlag von 3,00 bis 6,00 Prozent. Werden alle anfallenden Kosten zusammengefasst, ergeben sich Gesamtkosten von durchschnittlich 1,00 bis 2,50 Prozent. Bei der Kostenbetrachtung sollten Sie verschiedene Gebührenarten berücksichtigen: Ausgabeaufschlag beim Kauf, laufende Verwaltungsgebühren, mögliche Performance-Fees und Transaktionskosten.</w:t>
      </w:r>
    </w:p>
    <w:p w14:paraId="5680C9ED" w14:textId="77777777" w:rsidR="00F51BD5" w:rsidRPr="00F51BD5" w:rsidRDefault="00F51BD5" w:rsidP="00F51BD5">
      <w:r w:rsidRPr="00F51BD5">
        <w:t>Differenziert nach Anlagestrategien zeigen sich jedoch signifikante Unterschiede: Die Kosten bei Mischfonds liegen in Österreich, Deutschland und Gesamteuropa bei 1,6 Prozent. Bei österreichischen Rentenfonds betragen sie 0,7 Prozent (Deutschland: 0,8%, EU: 1,0%), bei Aktienfonds hingegen 1,9 Prozent (Deutschland: 1,5%, EU: 1,6%). Die Gebührenunterschiede zwischen den Fondsarten spiegeln den unterschiedlichen Verwaltungsaufwand wider.</w:t>
      </w:r>
    </w:p>
    <w:p w14:paraId="25CF5F7E" w14:textId="77777777" w:rsidR="00F51BD5" w:rsidRPr="00F51BD5" w:rsidRDefault="00F51BD5" w:rsidP="00F51BD5">
      <w:r w:rsidRPr="00F51BD5">
        <w:t>Die Wahl zwischen Einmalanlage und Sparplan kann die Kostenbelastung ebenfalls beeinflussen. Mit einem Sparplan wird regelmäßig ein fester Betrag in einen Aktienfonds investiert. Der Vorteil ist, dass der Anleger bei niedrigen Kursen automatisch mehr Anteile als bei hohen Kursen erhält. Auf lange Sicht kann so oft ein günstiger Durchschnittspreis erreicht werden.</w:t>
      </w:r>
    </w:p>
    <w:p w14:paraId="1F8F28D0" w14:textId="77777777" w:rsidR="00F51BD5" w:rsidRPr="00F51BD5" w:rsidRDefault="00F51BD5" w:rsidP="00F51BD5">
      <w:pPr>
        <w:rPr>
          <w:b/>
          <w:bCs/>
        </w:rPr>
      </w:pPr>
      <w:r w:rsidRPr="00F51BD5">
        <w:rPr>
          <w:b/>
          <w:bCs/>
        </w:rPr>
        <w:t>Fazit</w:t>
      </w:r>
    </w:p>
    <w:p w14:paraId="521D6457" w14:textId="77777777" w:rsidR="00F51BD5" w:rsidRPr="00F51BD5" w:rsidRDefault="00F51BD5" w:rsidP="00F51BD5">
      <w:r w:rsidRPr="00F51BD5">
        <w:t>Fonds bieten Anlegern eine praktische Möglichkeit, ihr Geld professionell verwaltet anzulegen. Je nach Fondstyp – ob Aktien-, Renten- oder Mischfonds – lassen sich unterschiedliche Anlageprofile umsetzen. Mischfonds eignen sich besonders für Anleger, die ein ausgewogenes Verhältnis zwischen Rendite und Sicherheit suchen. Die Diversifikation und der gesetzliche Schutz durch das Sondervermögen-Prinzip sind wesentliche Vorteile dieser Anlageform. Allerdings sollten Anleger die anfallenden Kosten und individuellen Risiken nicht außer Acht lassen. Eine bewusste Wahl des geeigneten Fonds und eine regelmäßige Überprüfung des Portfolios helfen, die Anlageziele zu erreichen.</w:t>
      </w:r>
    </w:p>
    <w:p w14:paraId="2FCE64EA"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C7"/>
    <w:rsid w:val="00011BC7"/>
    <w:rsid w:val="001823CB"/>
    <w:rsid w:val="007E394E"/>
    <w:rsid w:val="00F51B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9072E-FB31-4A2B-BC94-E07D2534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1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11BC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11B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1B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1B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1B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1B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1B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1B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11B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11BC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11BC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1BC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1B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1B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1B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1BC7"/>
    <w:rPr>
      <w:rFonts w:eastAsiaTheme="majorEastAsia" w:cstheme="majorBidi"/>
      <w:color w:val="272727" w:themeColor="text1" w:themeTint="D8"/>
    </w:rPr>
  </w:style>
  <w:style w:type="paragraph" w:styleId="Titel">
    <w:name w:val="Title"/>
    <w:basedOn w:val="Standard"/>
    <w:next w:val="Standard"/>
    <w:link w:val="TitelZchn"/>
    <w:uiPriority w:val="10"/>
    <w:qFormat/>
    <w:rsid w:val="0001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1B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1B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1B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1B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1BC7"/>
    <w:rPr>
      <w:i/>
      <w:iCs/>
      <w:color w:val="404040" w:themeColor="text1" w:themeTint="BF"/>
    </w:rPr>
  </w:style>
  <w:style w:type="paragraph" w:styleId="Listenabsatz">
    <w:name w:val="List Paragraph"/>
    <w:basedOn w:val="Standard"/>
    <w:uiPriority w:val="34"/>
    <w:qFormat/>
    <w:rsid w:val="00011BC7"/>
    <w:pPr>
      <w:ind w:left="720"/>
      <w:contextualSpacing/>
    </w:pPr>
  </w:style>
  <w:style w:type="character" w:styleId="IntensiveHervorhebung">
    <w:name w:val="Intense Emphasis"/>
    <w:basedOn w:val="Absatz-Standardschriftart"/>
    <w:uiPriority w:val="21"/>
    <w:qFormat/>
    <w:rsid w:val="00011BC7"/>
    <w:rPr>
      <w:i/>
      <w:iCs/>
      <w:color w:val="0F4761" w:themeColor="accent1" w:themeShade="BF"/>
    </w:rPr>
  </w:style>
  <w:style w:type="paragraph" w:styleId="IntensivesZitat">
    <w:name w:val="Intense Quote"/>
    <w:basedOn w:val="Standard"/>
    <w:next w:val="Standard"/>
    <w:link w:val="IntensivesZitatZchn"/>
    <w:uiPriority w:val="30"/>
    <w:qFormat/>
    <w:rsid w:val="0001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1BC7"/>
    <w:rPr>
      <w:i/>
      <w:iCs/>
      <w:color w:val="0F4761" w:themeColor="accent1" w:themeShade="BF"/>
    </w:rPr>
  </w:style>
  <w:style w:type="character" w:styleId="IntensiverVerweis">
    <w:name w:val="Intense Reference"/>
    <w:basedOn w:val="Absatz-Standardschriftart"/>
    <w:uiPriority w:val="32"/>
    <w:qFormat/>
    <w:rsid w:val="00011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1130</Words>
  <Characters>7122</Characters>
  <Application>Microsoft Office Word</Application>
  <DocSecurity>0</DocSecurity>
  <Lines>59</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2026-04-04T17:23:00Z</dcterms:created>
  <dcterms:modified xsi:type="dcterms:W3CDTF">2026-04-04T17:23:00Z</dcterms:modified>
</cp:coreProperties>
</file>