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Fondsgebundene Lebensversicherung</w:t>
      </w:r>
    </w:p>
    <w:p>
      <w:r>
        <w:rPr>
          <w:i/>
        </w:rPr>
        <w:t>Renditestarke Altersvorsorge mit Fondsbeteiligung erklärt</w:t>
      </w:r>
    </w:p>
    <w:p>
      <w:pPr>
        <w:pStyle w:val="Heading1"/>
      </w:pPr>
      <w:r>
        <w:t>Fondsgebundene Lebensversicherung</w:t>
      </w:r>
    </w:p>
    <w:p>
      <w:r>
        <w:t>Die fondsgebundene Lebensversicherung verbindet private Altersvorsorge mit Renditechancen am Kapitalmarkt. Sie kombiniert eine Risiko-Lebensversicherung mit einem Fondssparplan: Sie als Versicherungsnehmer bestimmen in der Regel, in welche Aktien-, Renten- oder Immobilienfonds Ihre Beiträge fließen, und tragen dafür meist auch das vollständige Anlagerisiko. Im Gegensatz zu klassischen Lebensversicherungen hängt die Leistung unmittelbar von der Wertentwicklung der gewählten Fonds ab – eine garantierte Verzinsung gibt es nicht. Im Ausnahmefall ist sogar der Totalverlust des eingesetzten Kapitals möglich.</w:t>
      </w:r>
    </w:p>
    <w:p>
      <w:pPr>
        <w:pStyle w:val="Heading2"/>
      </w:pPr>
      <w:r>
        <w:t>Funktionsweise und Besonderheiten</w:t>
      </w:r>
    </w:p>
    <w:p>
      <w:r>
        <w:t>Bei einer fondsgebundenen Lebensversicherung wird ein Großteil der eingezahlten Sparprämien direkt in Investmentfonds angelegt. Diese Fonds bestehen aus verschiedenen Anlageklassen wie Aktien, Renten oder Immobilien. Sie können als Versicherungsnehmer die Fondsauswahl üblicherweise selbst treffen und diese je nach Marktentwicklung auch wechseln.</w:t>
      </w:r>
    </w:p>
    <w:p>
      <w:r>
        <w:t>Von jeder Prämie werden etwa 90 Prozent veranlagt. Die restlichen 10 Prozent behält die Versicherung für die Absicherung im Todesfall, Steuern und Verwaltungsgebühren ein. Ein Teil der Beiträge fließt automatisch in eine Risikolebensversicherung, die im Todefall eine Mindestabsicherung bietet. Dies hat zur Folge, dass es bei fondsgebundenen Lebensversicherungen keine garantierten Rückkaufswerte gibt. Sie als Versicherungsnehmer tragen das volle Veranlagungsrisiko, das sich aus Ihren Entscheidungen ergibt.</w:t>
      </w:r>
    </w:p>
    <w:p>
      <w:pPr>
        <w:pStyle w:val="Heading2"/>
      </w:pPr>
      <w:r>
        <w:t>Steuerliche Behandlung</w:t>
      </w:r>
    </w:p>
    <w:p>
      <w:r>
        <w:t>Die steuerliche Behandlung hängt maßgeblich vom Abschlussdatum des Vertrags ab. Für Versicherungen, die vor dem 31. Dezember 2004 abgeschlossen wurden, ist die Auszahlung unter bestimmten Bedingungen komplett steuerfrei. Voraussetzungen sind eine Laufzeit von mindestens 12 Jahren, bei Lebensversicherungen zusätzlich ein Todesfallschutz von mindestens 60 Prozent der Beitragssumme und eine Beitragszahlungsdauer von mindestens fünf Jahren.</w:t>
      </w:r>
    </w:p>
    <w:p>
      <w:r>
        <w:t>Für Verträge ab 2005 gelten andere Regelungen. Sie profitieren dennoch von Steuervorteilen: Wenn Sie Ihren Vertrag mindestens 12 Jahre laufen lassen und die Auszahlung frühestens ab dem 62. Lebensjahr erfolgt, müssen Sie nur die Hälfte des Gewinns versteuern. Der Gewinn ergibt sich aus der Auszahlungssumme abzüglich Ihrer geleisteten Beiträge. Bei Verträgen nach 2012 muss das 62. Lebensjahr bei Auszahlung bereits vollendet sein. Anderenfalls fallen 25 Prozent Abgeltungssteuer, Solidaritätszuschlag und möglicherweise Kirchensteuer an.</w:t>
      </w:r>
    </w:p>
    <w:p>
      <w:r>
        <w:t>Wählen Sie stattdessen eine lebenslange Rente, kommt die günstige Ertragsanteilsbesteuerung zur Anwendung. Bei einem Renteneintrittsalter von 67 Jahren liegt der Ertragsanteil beispielsweise bei 17 Prozent.</w:t>
      </w:r>
    </w:p>
    <w:p>
      <w:pPr>
        <w:pStyle w:val="Heading2"/>
      </w:pPr>
      <w:r>
        <w:t>Kostenstruktur und Gebühren</w:t>
      </w:r>
    </w:p>
    <w:p>
      <w:r>
        <w:t>Die Kosten sind ein kritisches Merkmal fondsgebundener Lebensversicherungen. Bei einem Eintrittsalter von 37 Jahren und einer Laufzeit von 30 Jahren betragen die durchschnittlichen Effektivkosten der meistverkauften Produkte etwa 1,90 Prozent. Allerdings gibt es Anbieter, bei denen die Effektivkosten oberhalb von 4 Prozent liegen. Das bedeutet: Erst wenn die zugrundeliegenden Kapitalanlagen entsprechend hohe Renditen erzielen, entstehen für Sie tatsächliche Anlagegewinne.</w:t>
      </w:r>
    </w:p>
    <w:p>
      <w:r>
        <w:t>Die wichtigsten Kostenpunkte sind:</w:t>
      </w:r>
    </w:p>
    <w:p>
      <w:pPr>
        <w:pStyle w:val="ListBullet"/>
      </w:pPr>
      <w:r>
        <w:rPr>
          <w:b/>
        </w:rPr>
        <w:t>Abschlusskosten</w:t>
      </w:r>
      <w:r>
        <w:t>: bis circa 4 Prozent der Beitragssumme</w:t>
      </w:r>
    </w:p>
    <w:p>
      <w:pPr>
        <w:pStyle w:val="ListBullet"/>
      </w:pPr>
      <w:r>
        <w:rPr>
          <w:b/>
        </w:rPr>
        <w:t>Verwaltungskosten</w:t>
      </w:r>
      <w:r>
        <w:t>: 0,5 bis 1,5 Prozent jährlich für Vertragsverwaltung und Fondsverwaltung</w:t>
      </w:r>
    </w:p>
    <w:p>
      <w:pPr>
        <w:pStyle w:val="ListBullet"/>
      </w:pPr>
      <w:r>
        <w:rPr>
          <w:b/>
        </w:rPr>
        <w:t>Fondskosten</w:t>
      </w:r>
      <w:r>
        <w:t>: bis zu 2 Prozent des Vertragswertes jährlich, berechnet als Managementgebühren und Ausgabeaufschläge</w:t>
      </w:r>
    </w:p>
    <w:p>
      <w:r>
        <w:t>Diese Gebühren sind ein erheblicher Kostenfaktor, der die Netto-Rendite oft deutlich reduziert.</w:t>
      </w:r>
    </w:p>
    <w:p>
      <w:pPr>
        <w:pStyle w:val="Heading2"/>
      </w:pPr>
      <w:r>
        <w:t>Vorteile und Nachteile</w:t>
      </w:r>
    </w:p>
    <w:p>
      <w:r>
        <w:t>Fondsgebundene Lebensversicherungen bieten spezifische Chancen: Sie haben die Möglichkeit, durch die Anlage in verschiedene Fonds höhere Renditen zu erzielen als mit klassischen Kapitallebensversicherungen. Zudem ermöglichen viele Produkte Sonderzahlungen oder eine Beitragsfreistellung bei finanziellen Engpässen. Sie erhalten zudem Todesfallschutz und genießen steuerliche Vorteile bei Rentenlösung.</w:t>
      </w:r>
    </w:p>
    <w:p>
      <w:r>
        <w:t>Allerdings überwiegen die Nachteile häufig: Die Kosten für Verwaltung, Abschluss und Fondsmanagement sind oft höher als bei klassischen Altersvorsorgeprodukten. Die Rendite unterliegt den Schwankungen der Finanzmärkte – Verluste sind möglich. Zudem gibt es in der Regel keine Leistungsgarantien. Die Produkte sind häufig unflexibel, und bei vorzeitigen Kündigungen drohen erhebliche Verluste.</w:t>
      </w:r>
    </w:p>
    <w:p>
      <w:pPr>
        <w:pStyle w:val="Heading2"/>
      </w:pPr>
      <w:r>
        <w:t>Alternativen: ETF-Sparpläne</w:t>
      </w:r>
    </w:p>
    <w:p>
      <w:r>
        <w:t>Viele Experten empfehlen ETF-Sparpläne als Alternative. Bei einer reinen Renditeorientierung bieten ETF-Sparpläne Vorteile: Sie investieren direkt in börsengehandelte Wertpapiere ohne Versicherungshülle. Die Verwaltungsgebühren sind üblicherweise deutlich geringer. Zudem bieten ETF-Sparpläne maximale Flexibilität – Sie können Sparraten anpassen, pausieren oder ETFs zügig an der Börse verkaufen.</w:t>
      </w:r>
    </w:p>
    <w:p>
      <w:r>
        <w:t>Die Versicherungshülle einer fondsgebundenen Lebensversicherung bietet jedoch spezifische Vorteile, die ETF-Sparpläne nicht leisten: Todesfallschutz ohne separate Police, steuerliche Optimierung bei Rentenauszahlung und die Möglichkeit einer lebenslangen Rente. Bei einer privaten Rentenversicherung können Sie sogar mehr ausgezahlt bekommen, als Sie eingezahlt haben.</w:t>
      </w:r>
    </w:p>
    <w:p>
      <w:pPr>
        <w:pStyle w:val="Heading2"/>
      </w:pPr>
      <w:r>
        <w:t>Fazit</w:t>
      </w:r>
    </w:p>
    <w:p>
      <w:r>
        <w:t>Die fondsgebundene Lebensversicherung ist ein komplexes Finanzprodukt mit spezifischen steuerlichen Vorzügen, aber auch erheblichen Kosten und Risiken. In vielen Fällen erweist sie sich durch hohe Gebühren und mangelnde Flexibilität als ungünstig. Eine Alternative liegt darin, Anlage und Risiko zu trennen: Investieren Sie über breitgestreute ETF-Sparpläne günstig am Kapitalmarkt, während Sie parallel eine Risikolebensversicherung oder Berufsunfähigkeitsversicherung abschließen. Dies ermöglicht Ihnen often bessere Konditionen und mehr Flexibilität. Für eine fundierte Entscheidung sollten Sie Ihre individuellen Ziele, Ihre Risikobereitschaft und Ihre steuerliche Situation analysieren sowie verschiedene Angebote vergleichen.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