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Girokonto</w:t>
      </w:r>
    </w:p>
    <w:p>
      <w:r>
        <w:rPr>
          <w:i/>
        </w:rPr>
        <w:t>Girokonten vergleichen: Gebühren sparen &amp; beste Bank finden</w:t>
      </w:r>
    </w:p>
    <w:p>
      <w:pPr>
        <w:pStyle w:val="Heading1"/>
      </w:pPr>
      <w:r>
        <w:t>Girokonto</w:t>
      </w:r>
    </w:p>
    <w:p>
      <w:r>
        <w:t>Das Girokonto ist der zentrale Baustein des Finanzlebens in Deutschland. Über dieses Konto wickeln Verbraucher ihren täglichen Zahlungsverkehr ab, erhalten Gehalt und Rente, bezahlen Miete und Rechnungen. Trotz zunehmender Digitalisierung und neuer Zahlungsmethoden bleibt das klassische Girokonto unverzichtbar – allerdings hat sich die Kostenlandschaft in den letzten Jahren deutlich verändert.</w:t>
      </w:r>
    </w:p>
    <w:p>
      <w:pPr>
        <w:pStyle w:val="Heading2"/>
      </w:pPr>
      <w:r>
        <w:t>Zweck und Funktionen des Girokontos</w:t>
      </w:r>
    </w:p>
    <w:p>
      <w:r>
        <w:t>Das Girokonto erfüllt mehrere zentrale Aufgaben im Alltag. Erstens dient es als Abwicklungskonto für alle bargeldlosen Transaktionen. Mit SEPA wurden europaweit einheitliche Verfahren für den bargeldlosen Zahlungsverkehr etabliert – Überweisungen, Lastschriften und Kartenzahlungen funktionieren dadurch standardisiert. Zweitens fungiert das Girokonto als Aufbewahrungsort für Geldbestände, auch wenn die meisten Banken heute keine Zinsen mehr auf solche Konten zahlen. Drittens ermöglicht es den Zugang zu weiteren Bankdienstleistungen wie Kreditkarten oder Darlehen.</w:t>
      </w:r>
    </w:p>
    <w:p>
      <w:r>
        <w:t>Bargeld bleibt in Deutschland das beliebteste Zahlungsmittel, weshalb der Zugang zu Geldautomaten ein wichtiger Faktor bei der Kontowahl ist. Moderne Girokonten bieten neben der klassischen Girocard oft auch Debitkarten von Visa oder Mastercard, die eine weltweite Nutzung ermöglichen.</w:t>
      </w:r>
    </w:p>
    <w:p>
      <w:pPr>
        <w:pStyle w:val="Heading2"/>
      </w:pPr>
      <w:r>
        <w:t>Zahlungsverkehr im SEPA-Raum</w:t>
      </w:r>
    </w:p>
    <w:p>
      <w:r>
        <w:t>Der europäische Zahlungsverkehr funktioniert seit 2014 über das SEPA-System (Single Euro Payments Area). Dieser umfasst die 27 EU-Staaten, die EWR-Länder Island, Liechtenstein und Norwegen sowie die Schweiz, Monaco, San Marino, Andorra und den Staat Vatikanstadt. Grenzüberschreitende Zahlungen unter Angabe der IBAN dürfen nicht länger als einen Tag dauern.</w:t>
      </w:r>
    </w:p>
    <w:p>
      <w:r>
        <w:t>Für SEPA-Überweisungen benötigen Sie lediglich die IBAN des Empfängers. Die deutsche IBAN ist ein 22-stelliger Code aus Buchstaben und Zahlen, der die Kontonummer, die Bankleitzahl und das DE-Länderkennzeichen enthält. Noch schneller funktioniert die SEPA-Echtzeit-Überweisung – innerhalb von zehn Sekunden. Seit Januar 2025 müssen Banken eingehende Sofortüberweisungen akzeptieren, ab Oktober 2025 auch ausgehende anbieten. Extra-Gebühren sind dafür nicht zulässig.</w:t>
      </w:r>
    </w:p>
    <w:p>
      <w:r>
        <w:t>Bei Lastschriften gibt es zwei Varianten: die SEPA-Basislastschrift für Privatpersonen und die SEPA-Firmenlastschrift für Unternehmen. Der Zahlende kann das Geld acht Wochen lang zurückbuchen, länger, wenn kein Mandat vorhanden war. Das Mandat gilt unbegrenzt, verfällt aber, wenn es 36 Monate lang nicht zu Abbuchungen kommt.</w:t>
      </w:r>
    </w:p>
    <w:p>
      <w:pPr>
        <w:pStyle w:val="Heading2"/>
      </w:pPr>
      <w:r>
        <w:t>Kosten und Gebührenlandschaft</w:t>
      </w:r>
    </w:p>
    <w:p>
      <w:r>
        <w:t>Die Gebührenlandschaft bei Girokonten hat sich in den letzten Jahren deutlich polarisiert. Während viele Sparkassen und Volksbanken ihre Kontomodelle verteuert haben, halten zahlreiche Onlinebanken an kostenlosen Angeboten fest. Etwa 20 Anbieter verzichten komplett auf Kontoführungsgebühren, während 14 weitere unter bestimmten Bedingungen kostenloses Banking ermöglichen.</w:t>
      </w:r>
    </w:p>
    <w:p>
      <w:r>
        <w:t>Bei kostenlosen Angeboten gibt es häufig Voraussetzungen: Bei DKB ist die Gebührenfreiheit an einen monatlichen Geldeingang von mindestens 700 Euro gekoppelt, die ING fordert 1.000 Euro monatlich oder Kundenalter unter 28 Jahren. Die Norisbank erwartet nur 500 Euro Geldeingang im Monat. Einige Anbieter wie Meine Bank bieten ihre Girokonten bedingungslos kostenlos an.</w:t>
      </w:r>
    </w:p>
    <w:p>
      <w:r>
        <w:t>Im Durchschnitt liegt der Zinssatz für Dispokredite bei etwa 11 Prozent – eine erhebliche Kostenbelastung bei Kontoüberziehungen. Einzelne Banken verlangen bis zu 17 Prozent. Verbraucher sollten daher Überziehungen meiden oder mit der Bank über bessere Konditionen verhandeln.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Anbieter</w:t>
            </w:r>
          </w:p>
        </w:tc>
        <w:tc>
          <w:tcPr>
            <w:tcW w:type="dxa" w:w="2340"/>
          </w:tcPr>
          <w:p>
            <w:r>
              <w:rPr>
                <w:b/>
              </w:rPr>
              <w:t>Kontoführung</w:t>
            </w:r>
          </w:p>
        </w:tc>
        <w:tc>
          <w:tcPr>
            <w:tcW w:type="dxa" w:w="2340"/>
          </w:tcPr>
          <w:p>
            <w:r>
              <w:rPr>
                <w:b/>
              </w:rPr>
              <w:t>Bedingung</w:t>
            </w:r>
          </w:p>
        </w:tc>
        <w:tc>
          <w:tcPr>
            <w:tcW w:type="dxa" w:w="2340"/>
          </w:tcPr>
          <w:p>
            <w:r>
              <w:rPr>
                <w:b/>
              </w:rPr>
              <w:t>Kartentyp</w:t>
            </w:r>
          </w:p>
        </w:tc>
      </w:tr>
      <w:tr>
        <w:tc>
          <w:tcPr>
            <w:tcW w:type="dxa" w:w="2340"/>
          </w:tcPr>
          <w:p>
            <w:r>
              <w:t>ING</w:t>
            </w:r>
          </w:p>
        </w:tc>
        <w:tc>
          <w:tcPr>
            <w:tcW w:type="dxa" w:w="2340"/>
          </w:tcPr>
          <w:p>
            <w:r>
              <w:t>kostenlos</w:t>
            </w:r>
          </w:p>
        </w:tc>
        <w:tc>
          <w:tcPr>
            <w:tcW w:type="dxa" w:w="2340"/>
          </w:tcPr>
          <w:p>
            <w:r>
              <w:t>ab 1.000€ Geldeingang oder unter 28 Jahren</w:t>
            </w:r>
          </w:p>
        </w:tc>
        <w:tc>
          <w:tcPr>
            <w:tcW w:type="dxa" w:w="2340"/>
          </w:tcPr>
          <w:p>
            <w:r>
              <w:t>Visa-Debitkarte</w:t>
            </w:r>
          </w:p>
        </w:tc>
      </w:tr>
      <w:tr>
        <w:tc>
          <w:tcPr>
            <w:tcW w:type="dxa" w:w="2340"/>
          </w:tcPr>
          <w:p>
            <w:r>
              <w:t>DKB</w:t>
            </w:r>
          </w:p>
        </w:tc>
        <w:tc>
          <w:tcPr>
            <w:tcW w:type="dxa" w:w="2340"/>
          </w:tcPr>
          <w:p>
            <w:r>
              <w:t>kostenlos</w:t>
            </w:r>
          </w:p>
        </w:tc>
        <w:tc>
          <w:tcPr>
            <w:tcW w:type="dxa" w:w="2340"/>
          </w:tcPr>
          <w:p>
            <w:r>
              <w:t>ab 700€ monatlichem Geldeingang</w:t>
            </w:r>
          </w:p>
        </w:tc>
        <w:tc>
          <w:tcPr>
            <w:tcW w:type="dxa" w:w="2340"/>
          </w:tcPr>
          <w:p>
            <w:r>
              <w:t>Visa-Debitkarte</w:t>
            </w:r>
          </w:p>
        </w:tc>
      </w:tr>
      <w:tr>
        <w:tc>
          <w:tcPr>
            <w:tcW w:type="dxa" w:w="2340"/>
          </w:tcPr>
          <w:p>
            <w:r>
              <w:t>Meine Bank</w:t>
            </w:r>
          </w:p>
        </w:tc>
        <w:tc>
          <w:tcPr>
            <w:tcW w:type="dxa" w:w="2340"/>
          </w:tcPr>
          <w:p>
            <w:r>
              <w:t>kostenlos</w:t>
            </w:r>
          </w:p>
        </w:tc>
        <w:tc>
          <w:tcPr>
            <w:tcW w:type="dxa" w:w="2340"/>
          </w:tcPr>
          <w:p>
            <w:r>
              <w:t>bedingungslos</w:t>
            </w:r>
          </w:p>
        </w:tc>
        <w:tc>
          <w:tcPr>
            <w:tcW w:type="dxa" w:w="2340"/>
          </w:tcPr>
          <w:p>
            <w:r>
              <w:t>–</w:t>
            </w:r>
          </w:p>
        </w:tc>
      </w:tr>
      <w:tr>
        <w:tc>
          <w:tcPr>
            <w:tcW w:type="dxa" w:w="2340"/>
          </w:tcPr>
          <w:p>
            <w:r>
              <w:t>Postbank Giro extra plus</w:t>
            </w:r>
          </w:p>
        </w:tc>
        <w:tc>
          <w:tcPr>
            <w:tcW w:type="dxa" w:w="2340"/>
          </w:tcPr>
          <w:p>
            <w:r>
              <w:t>11,90€</w:t>
            </w:r>
          </w:p>
        </w:tc>
        <w:tc>
          <w:tcPr>
            <w:tcW w:type="dxa" w:w="2340"/>
          </w:tcPr>
          <w:p>
            <w:r>
              <w:t>ab 3.000€ Geldeingang kostenlos</w:t>
            </w:r>
          </w:p>
        </w:tc>
        <w:tc>
          <w:tcPr>
            <w:tcW w:type="dxa" w:w="2340"/>
          </w:tcPr>
          <w:p>
            <w:r>
              <w:t>Mastercard</w:t>
            </w:r>
          </w:p>
        </w:tc>
      </w:tr>
    </w:tbl>
    <w:p>
      <w:pPr>
        <w:pStyle w:val="Heading2"/>
      </w:pPr>
      <w:r>
        <w:t>Einlagensicherung und Sicherheit</w:t>
      </w:r>
    </w:p>
    <w:p>
      <w:r>
        <w:t>Die Sicherheit der Einlagen ist durch ein mehrstufiges System gewährleistet. Im Fall einer Bankpleite schützt die Europäische Union bis zu 100.000 Euro pro Person und Bank. Der Schutz gilt für Tagesgeld-, Festgeld- und Girokonten, Sparbücher und Verrechungskonten von Depots.</w:t>
      </w:r>
    </w:p>
    <w:p>
      <w:r>
        <w:t>Die gesetzliche Einlagensicherung in Deutschland wird durch die Entschädigungseinrichtung deutscher Banken (EdB) umgesetzt und sichert 100 Prozent der Einlagen bis 100.000 Euro pro Kunde und Kreditinstitut. Zusätzlich existieren freiwillige Sicherungseinrichtungen über den Bundesverband deutscher Banken (BdB) und den Bundesverband Öffentlicher Banken Deutschlands. Diese unterhalten jeweils einen freiwilligen Einlagensicherungsfonds mit höheren Schutzgrenzen, die jedoch reformiert wurden: Seit 1. Januar 2025 beträgt der Schutz maximal 3 Millionen Euro, ab 2030 maximal 1 Million Euro. Der BdB betont, dass sich für 98 Prozent aller privaten Sparer nichts ändern wird.</w:t>
      </w:r>
    </w:p>
    <w:p>
      <w:r>
        <w:t>Besondere Schutzregeln gelten für bestimmte Lebenssituationen: Nach Einzahlung – in Deutschland sechs Monate lang – beträgt der Schutz bis zu 500.000 Euro, wenn die Einzahlung mit Lebensereignissen zusammenhängt, die für die Lebensführung von besonderer Bedeutung sind, etwa beim Verkauf einer Privatimmobilie.</w:t>
      </w:r>
    </w:p>
    <w:p>
      <w:r>
        <w:t>Jede Bank in Deutschland ist gesetzlich verpflichtet, auf Antrag ein Basiskonto zu eröffnen – auch bei negativer Schufa oder ohne festen Wohnsitz. Dies gewährleistet, dass jeder Mensch Zugang zu grundlegenden Bankdienstleistungen erhält.</w:t>
      </w:r>
    </w:p>
    <w:p>
      <w:pPr>
        <w:pStyle w:val="Heading2"/>
      </w:pPr>
      <w:r>
        <w:t>Fazit: Girokonto im digitalen Wandel</w:t>
      </w:r>
    </w:p>
    <w:p>
      <w:r>
        <w:t>Das Girokonto bleibt das Herzstück des privaten Zahlungsverkehrs, auch wenn sich die Rahmenbedingungen kontinuierlich verändern. Die Digitalisierung hat neue Anbieter auf den Markt gebracht und traditionelle Geschäftsmodelle herausgefordert. Verbraucher profitieren von einer größeren Angebotvielfalt und oft besseren Konditionen bei Direktbanken.</w:t>
      </w:r>
    </w:p>
    <w:p>
      <w:r>
        <w:t>Die Sicherheit der Einlagen ist durch das europäische Einlagensicherungssystem gewährleistet. Die 100.000-Euro-Grenze ist für die meisten Privatkunden ausreichend; bei größeren Beträgen empfiehlt sich eine Verteilung auf mehrere Banken.</w:t>
      </w:r>
    </w:p>
    <w:p>
      <w:r>
        <w:t>Für die richtige Kontowahl sind mehrere Faktoren relevant: Kosten, Verfügbarkeit von Bargeld, digitale Services und persönliche Nutzungsgewohnheiten. Direktbanken wie ING oder DKB bieten gebührenfreie Girokonten an – mit unterschiedlichen Bedingungen bei den Mindestgeldeingang. Wer diese nicht erfüllt oder Filialservice bevorzugt, muss mit höheren Kosten rechnen.</w:t>
      </w:r>
    </w:p>
    <w:p>
      <w:r>
        <w:t>SEPA macht grenzüberschreitende Transaktionen in Europa so unkompliziert wie Inlandsüberweisungen. Mit der verpflichtenden Einführung von Echtzeitüberweisungen wird der Zahlungsverkehr noch schneller und effizienter. Das Girokonto wandelt sich damit vom reinen Zahlungsabwicklungskonto zum digitalen Finanzpartner, der verschiedene Services unter einem Dach vereint.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