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3ECB8" w14:textId="77777777" w:rsidR="009F32DC" w:rsidRPr="009F32DC" w:rsidRDefault="009F32DC" w:rsidP="009F32DC">
      <w:r w:rsidRPr="009F32DC">
        <w:t># Immobilien als Geldanlage</w:t>
      </w:r>
    </w:p>
    <w:p w14:paraId="054D0086" w14:textId="77777777" w:rsidR="009F32DC" w:rsidRPr="009F32DC" w:rsidRDefault="009F32DC" w:rsidP="009F32DC">
      <w:r w:rsidRPr="009F32DC">
        <w:t>Immobilien gelten seit Jahrzehnten als solide Geldanlage – doch wie attraktiv sind sie wirklich in der heutigen Zeit? Die Zeiten extrem niedriger Zinsen sind vorbei, die Immobilienpreise haben sich nach den Höchstständen von 2022 wieder normalisiert, und die Finanzierungsbedingungen haben sich spürbar verändert. Für Sie als potenzielle Käuferin stellt sich die Frage: Lohnt sich der Schritt ins "Betongold" noch, oder gibt es bessere Alternativen für Ihr Kapital?</w:t>
      </w:r>
    </w:p>
    <w:p w14:paraId="7619D890" w14:textId="77777777" w:rsidR="009F32DC" w:rsidRPr="009F32DC" w:rsidRDefault="009F32DC" w:rsidP="009F32DC">
      <w:pPr>
        <w:rPr>
          <w:b/>
          <w:bCs/>
        </w:rPr>
      </w:pPr>
      <w:r w:rsidRPr="009F32DC">
        <w:rPr>
          <w:b/>
          <w:bCs/>
        </w:rPr>
        <w:t>Aktuelle Marktentwicklung: Was Sie jetzt wissen müssen</w:t>
      </w:r>
    </w:p>
    <w:p w14:paraId="5895FBE1" w14:textId="77777777" w:rsidR="009F32DC" w:rsidRPr="009F32DC" w:rsidRDefault="009F32DC" w:rsidP="009F32DC">
      <w:r w:rsidRPr="009F32DC">
        <w:t>Der deutsche Immobilienmarkt zeigt nach der schwierigen Phase 2022/2023 wieder Lebenszeichen: Die Nachfrage steigt spürbar und die Preise für Wohnimmobilien zogen 2025 in vielen Regionen Deutschlands wieder an. Die Preise für Wohnimmobilien in Deutschland sind im 2. Quartal 2025 um 3,2 Prozent gegenüber dem Vorjahresquartal gestiegen.</w:t>
      </w:r>
    </w:p>
    <w:p w14:paraId="0CECD26A" w14:textId="77777777" w:rsidR="009F32DC" w:rsidRPr="009F32DC" w:rsidRDefault="009F32DC" w:rsidP="009F32DC">
      <w:r w:rsidRPr="009F32DC">
        <w:t>Für die kommenden Jahre rechnet der Bundesverband der Deutschen Volksbanken und Raiffeisenbanken (BVR) für 2025 mit einem Preisanstieg für selbstgenutzte Wohnimmobilien um 3,2 Prozent und im Jahr 2026 um 3,1 Prozent. Mehrere Analysen erwarten 2026 leichte bis moderate Anstiege – Experten prognostizieren für Deutschland ein moderates Preiswachstum von circa 3 bis 3,5 Prozent.</w:t>
      </w:r>
    </w:p>
    <w:p w14:paraId="7450E0A8" w14:textId="77777777" w:rsidR="009F32DC" w:rsidRPr="009F32DC" w:rsidRDefault="009F32DC" w:rsidP="009F32DC">
      <w:r w:rsidRPr="009F32DC">
        <w:t>Die Finanzierungssituation hat sich stabilisiert: Die Bauzinsen liegen weiterhin unter den Spitzenwerten von 2023 und bewegen sich – je nach Eigenkapital, Objekt und Zinsbindung – meist in einem Korridor von rund 3,5 bis knapp 4,0 Prozent. Das ist deutlich höher als die historischen Tiefststände, aber immer noch auf einem tragbaren Niveau für gut geplante Finanzierungen.</w:t>
      </w:r>
    </w:p>
    <w:p w14:paraId="5DC7770E" w14:textId="77777777" w:rsidR="009F32DC" w:rsidRPr="009F32DC" w:rsidRDefault="009F32DC" w:rsidP="009F32DC">
      <w:pPr>
        <w:rPr>
          <w:b/>
          <w:bCs/>
        </w:rPr>
      </w:pPr>
      <w:r w:rsidRPr="009F32DC">
        <w:rPr>
          <w:b/>
          <w:bCs/>
        </w:rPr>
        <w:t>Renditeerwartungen: Wann rechnet sich Ihr Investment?</w:t>
      </w:r>
    </w:p>
    <w:p w14:paraId="482F2ED3" w14:textId="77777777" w:rsidR="009F32DC" w:rsidRPr="009F32DC" w:rsidRDefault="009F32DC" w:rsidP="009F32DC">
      <w:r w:rsidRPr="009F32DC">
        <w:t>Eine vermietete Immobilie als Kapitalanlage sollte eine Rendite von 4 bis 5 Prozent abwerfen. Eine Immobilieninvestition rechnet sich in der Regel ab einer Bruttomietrendite von etwa 5 bis 6 Prozent – dann ist ein neutraler oder leicht positiver Cashflow meist erreichbar. In Metropolen gelten bereits 3 bis 4 Prozent als sehr gute Rendite, da dort langfristig mit Wertsteigerung und Mietanpassungen zusätzliche Erträge erzielt werden können. Wer im Umland investiert, sollte eine etwas höhere Anfangsrendite einplanen.</w:t>
      </w:r>
    </w:p>
    <w:p w14:paraId="55242D37" w14:textId="77777777" w:rsidR="009F32DC" w:rsidRPr="009F32DC" w:rsidRDefault="009F32DC" w:rsidP="009F32DC">
      <w:r w:rsidRPr="009F32DC">
        <w:t>Die Realität sieht jedoch oft anders aus: Eine Umfrage des Eigentümerverbandes Haus &amp; Grund zeigte kürzlich, dass viele private Vermieter nur kostendeckend wirtschaften oder mit ihren Immobilien sogar Verlust machen. Das liegt vor allem an gestiegenen Finanzierungskosten, höheren Instandhaltungsaufwendungen und strengeren regulatorischen Anforderungen.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3"/>
        <w:gridCol w:w="6084"/>
        <w:gridCol w:w="889"/>
      </w:tblGrid>
      <w:tr w:rsidR="009F32DC" w:rsidRPr="009F32DC" w14:paraId="1FA4A84B" w14:textId="77777777">
        <w:trPr>
          <w:tblHeader/>
          <w:tblCellSpacing w:w="15" w:type="dxa"/>
        </w:trPr>
        <w:tc>
          <w:tcPr>
            <w:tcW w:w="0" w:type="auto"/>
            <w:vAlign w:val="center"/>
            <w:hideMark/>
          </w:tcPr>
          <w:p w14:paraId="67E78BA4" w14:textId="77777777" w:rsidR="009F32DC" w:rsidRPr="009F32DC" w:rsidRDefault="009F32DC" w:rsidP="009F32DC">
            <w:pPr>
              <w:rPr>
                <w:b/>
                <w:bCs/>
              </w:rPr>
            </w:pPr>
            <w:r w:rsidRPr="009F32DC">
              <w:rPr>
                <w:b/>
                <w:bCs/>
              </w:rPr>
              <w:t>Renditetyp</w:t>
            </w:r>
          </w:p>
        </w:tc>
        <w:tc>
          <w:tcPr>
            <w:tcW w:w="0" w:type="auto"/>
            <w:vAlign w:val="center"/>
            <w:hideMark/>
          </w:tcPr>
          <w:p w14:paraId="38E50BAA" w14:textId="77777777" w:rsidR="009F32DC" w:rsidRPr="009F32DC" w:rsidRDefault="009F32DC" w:rsidP="009F32DC">
            <w:pPr>
              <w:rPr>
                <w:b/>
                <w:bCs/>
              </w:rPr>
            </w:pPr>
            <w:r w:rsidRPr="009F32DC">
              <w:rPr>
                <w:b/>
                <w:bCs/>
              </w:rPr>
              <w:t>Berechnung</w:t>
            </w:r>
          </w:p>
        </w:tc>
        <w:tc>
          <w:tcPr>
            <w:tcW w:w="0" w:type="auto"/>
            <w:vAlign w:val="center"/>
            <w:hideMark/>
          </w:tcPr>
          <w:p w14:paraId="45FD409D" w14:textId="77777777" w:rsidR="009F32DC" w:rsidRPr="009F32DC" w:rsidRDefault="009F32DC" w:rsidP="009F32DC">
            <w:pPr>
              <w:rPr>
                <w:b/>
                <w:bCs/>
              </w:rPr>
            </w:pPr>
            <w:r w:rsidRPr="009F32DC">
              <w:rPr>
                <w:b/>
                <w:bCs/>
              </w:rPr>
              <w:t>Zielwert</w:t>
            </w:r>
          </w:p>
        </w:tc>
      </w:tr>
      <w:tr w:rsidR="009F32DC" w:rsidRPr="009F32DC" w14:paraId="4EA90F1A" w14:textId="77777777">
        <w:trPr>
          <w:tblCellSpacing w:w="15" w:type="dxa"/>
        </w:trPr>
        <w:tc>
          <w:tcPr>
            <w:tcW w:w="0" w:type="auto"/>
            <w:vAlign w:val="center"/>
            <w:hideMark/>
          </w:tcPr>
          <w:p w14:paraId="0AD9163F" w14:textId="77777777" w:rsidR="009F32DC" w:rsidRPr="009F32DC" w:rsidRDefault="009F32DC" w:rsidP="009F32DC">
            <w:r w:rsidRPr="009F32DC">
              <w:t>Bruttomietrendite</w:t>
            </w:r>
          </w:p>
        </w:tc>
        <w:tc>
          <w:tcPr>
            <w:tcW w:w="0" w:type="auto"/>
            <w:vAlign w:val="center"/>
            <w:hideMark/>
          </w:tcPr>
          <w:p w14:paraId="45372FED" w14:textId="77777777" w:rsidR="009F32DC" w:rsidRPr="009F32DC" w:rsidRDefault="009F32DC" w:rsidP="009F32DC">
            <w:r w:rsidRPr="009F32DC">
              <w:t>Jahresmiete ÷ Kaufpreis × 100</w:t>
            </w:r>
          </w:p>
        </w:tc>
        <w:tc>
          <w:tcPr>
            <w:tcW w:w="0" w:type="auto"/>
            <w:vAlign w:val="center"/>
            <w:hideMark/>
          </w:tcPr>
          <w:p w14:paraId="7136640C" w14:textId="77777777" w:rsidR="009F32DC" w:rsidRPr="009F32DC" w:rsidRDefault="009F32DC" w:rsidP="009F32DC">
            <w:r w:rsidRPr="009F32DC">
              <w:t>4–6 %</w:t>
            </w:r>
          </w:p>
        </w:tc>
      </w:tr>
      <w:tr w:rsidR="009F32DC" w:rsidRPr="009F32DC" w14:paraId="3CB66FB1" w14:textId="77777777">
        <w:trPr>
          <w:tblCellSpacing w:w="15" w:type="dxa"/>
        </w:trPr>
        <w:tc>
          <w:tcPr>
            <w:tcW w:w="0" w:type="auto"/>
            <w:vAlign w:val="center"/>
            <w:hideMark/>
          </w:tcPr>
          <w:p w14:paraId="46B54444" w14:textId="77777777" w:rsidR="009F32DC" w:rsidRPr="009F32DC" w:rsidRDefault="009F32DC" w:rsidP="009F32DC">
            <w:r w:rsidRPr="009F32DC">
              <w:t>Nettomietrendite</w:t>
            </w:r>
          </w:p>
        </w:tc>
        <w:tc>
          <w:tcPr>
            <w:tcW w:w="0" w:type="auto"/>
            <w:vAlign w:val="center"/>
            <w:hideMark/>
          </w:tcPr>
          <w:p w14:paraId="3308CD27" w14:textId="77777777" w:rsidR="009F32DC" w:rsidRPr="009F32DC" w:rsidRDefault="009F32DC" w:rsidP="009F32DC">
            <w:r w:rsidRPr="009F32DC">
              <w:t>(Jahresmiete - laufende Kosten) ÷ Kaufpreis × 100</w:t>
            </w:r>
          </w:p>
        </w:tc>
        <w:tc>
          <w:tcPr>
            <w:tcW w:w="0" w:type="auto"/>
            <w:vAlign w:val="center"/>
            <w:hideMark/>
          </w:tcPr>
          <w:p w14:paraId="73B332F2" w14:textId="77777777" w:rsidR="009F32DC" w:rsidRPr="009F32DC" w:rsidRDefault="009F32DC" w:rsidP="009F32DC">
            <w:r w:rsidRPr="009F32DC">
              <w:t>3–4 %</w:t>
            </w:r>
          </w:p>
        </w:tc>
      </w:tr>
      <w:tr w:rsidR="009F32DC" w:rsidRPr="009F32DC" w14:paraId="4583F204" w14:textId="77777777">
        <w:trPr>
          <w:tblCellSpacing w:w="15" w:type="dxa"/>
        </w:trPr>
        <w:tc>
          <w:tcPr>
            <w:tcW w:w="0" w:type="auto"/>
            <w:vAlign w:val="center"/>
            <w:hideMark/>
          </w:tcPr>
          <w:p w14:paraId="3DE7A3DB" w14:textId="77777777" w:rsidR="009F32DC" w:rsidRPr="009F32DC" w:rsidRDefault="009F32DC" w:rsidP="009F32DC">
            <w:r w:rsidRPr="009F32DC">
              <w:t>Eigenkapitalrendite</w:t>
            </w:r>
          </w:p>
        </w:tc>
        <w:tc>
          <w:tcPr>
            <w:tcW w:w="0" w:type="auto"/>
            <w:vAlign w:val="center"/>
            <w:hideMark/>
          </w:tcPr>
          <w:p w14:paraId="7A85D821" w14:textId="77777777" w:rsidR="009F32DC" w:rsidRPr="009F32DC" w:rsidRDefault="009F32DC" w:rsidP="009F32DC">
            <w:r w:rsidRPr="009F32DC">
              <w:t>Netto-Mietertrag nach Steuern ÷ gebundenes Eigenkapital × 100</w:t>
            </w:r>
          </w:p>
        </w:tc>
        <w:tc>
          <w:tcPr>
            <w:tcW w:w="0" w:type="auto"/>
            <w:vAlign w:val="center"/>
            <w:hideMark/>
          </w:tcPr>
          <w:p w14:paraId="7BC16671" w14:textId="77777777" w:rsidR="009F32DC" w:rsidRPr="009F32DC" w:rsidRDefault="009F32DC" w:rsidP="009F32DC">
            <w:r w:rsidRPr="009F32DC">
              <w:t>6–10 %</w:t>
            </w:r>
          </w:p>
        </w:tc>
      </w:tr>
    </w:tbl>
    <w:p w14:paraId="71E84BC2" w14:textId="77777777" w:rsidR="009F32DC" w:rsidRPr="009F32DC" w:rsidRDefault="009F32DC" w:rsidP="009F32DC">
      <w:pPr>
        <w:rPr>
          <w:b/>
          <w:bCs/>
        </w:rPr>
      </w:pPr>
      <w:r w:rsidRPr="009F32DC">
        <w:rPr>
          <w:b/>
          <w:bCs/>
        </w:rPr>
        <w:t>Chancen und Vorteile: Warum Immobilien nach wie vor attraktiv sind</w:t>
      </w:r>
    </w:p>
    <w:p w14:paraId="77AF362D" w14:textId="77777777" w:rsidR="009F32DC" w:rsidRPr="009F32DC" w:rsidRDefault="009F32DC" w:rsidP="009F32DC">
      <w:r w:rsidRPr="009F32DC">
        <w:t xml:space="preserve">Immobilien bieten einen eingebauten Inflationsschutz, da die Entwicklung der Kaufpreise und Mieten an die Inflation gekoppelt ist. Schließen Sie beispielsweise einen Indexmietvertrag mit </w:t>
      </w:r>
      <w:r w:rsidRPr="009F32DC">
        <w:lastRenderedPageBreak/>
        <w:t>Ihrem Mieter ab, steigt die Miete automatisch in dem Maß, in dem sich die Lebenshaltungskosten erhöhen.</w:t>
      </w:r>
    </w:p>
    <w:p w14:paraId="17BE6159" w14:textId="77777777" w:rsidR="009F32DC" w:rsidRPr="009F32DC" w:rsidRDefault="009F32DC" w:rsidP="009F32DC">
      <w:r w:rsidRPr="009F32DC">
        <w:t>Kapitalanlageimmobilien eignen sich gut als Baustein eines diversifizierten Vermögensportfolios, da Wohnraum immer gebraucht wird. Stimmen Ausstattung und Lage, bieten Immobilien als Geldanlage gute Aussichten auf Wertbeständigkeit oder sogar einen stetigen Wertzuwachs.</w:t>
      </w:r>
    </w:p>
    <w:p w14:paraId="7DA956B0" w14:textId="77777777" w:rsidR="009F32DC" w:rsidRPr="009F32DC" w:rsidRDefault="009F32DC" w:rsidP="009F32DC">
      <w:r w:rsidRPr="009F32DC">
        <w:t>Besonders interessant sind die steuerlichen Aspekte: Sie profitieren von Abschreibungen in Höhe von jährlich zwei Prozent auf die Anschaffungs- und Sanierungskosten. Wer das Renditeobjekt frühestens nach zehn Jahren verkauft, erhält der Wertzuwachs steuerfrei. Maklergebühren, Grundsteuer, Nebenkosten und die Zinsen der Finanzierung können bei der Steuer geltend gemacht werden.</w:t>
      </w:r>
    </w:p>
    <w:p w14:paraId="646FA974" w14:textId="77777777" w:rsidR="009F32DC" w:rsidRPr="009F32DC" w:rsidRDefault="009F32DC" w:rsidP="009F32DC">
      <w:r w:rsidRPr="009F32DC">
        <w:t>Die Vorteile im Überblick:</w:t>
      </w:r>
    </w:p>
    <w:p w14:paraId="2AC4A960" w14:textId="77777777" w:rsidR="009F32DC" w:rsidRPr="009F32DC" w:rsidRDefault="009F32DC" w:rsidP="009F32DC">
      <w:pPr>
        <w:numPr>
          <w:ilvl w:val="0"/>
          <w:numId w:val="1"/>
        </w:numPr>
      </w:pPr>
      <w:r w:rsidRPr="009F32DC">
        <w:t>Wertstabile Sachwertanlage mit Inflationsschutz</w:t>
      </w:r>
    </w:p>
    <w:p w14:paraId="55A2805F" w14:textId="77777777" w:rsidR="009F32DC" w:rsidRPr="009F32DC" w:rsidRDefault="009F32DC" w:rsidP="009F32DC">
      <w:pPr>
        <w:numPr>
          <w:ilvl w:val="0"/>
          <w:numId w:val="2"/>
        </w:numPr>
      </w:pPr>
      <w:r w:rsidRPr="009F32DC">
        <w:t>Regelmäßige Mieteinnahmen als passive Einkommensquelle</w:t>
      </w:r>
    </w:p>
    <w:p w14:paraId="562394B4" w14:textId="77777777" w:rsidR="009F32DC" w:rsidRPr="009F32DC" w:rsidRDefault="009F32DC" w:rsidP="009F32DC">
      <w:pPr>
        <w:numPr>
          <w:ilvl w:val="0"/>
          <w:numId w:val="3"/>
        </w:numPr>
      </w:pPr>
      <w:r w:rsidRPr="009F32DC">
        <w:t>Steuerliche Abschreibungsmöglichkeiten</w:t>
      </w:r>
    </w:p>
    <w:p w14:paraId="2E0C8F37" w14:textId="77777777" w:rsidR="009F32DC" w:rsidRPr="009F32DC" w:rsidRDefault="009F32DC" w:rsidP="009F32DC">
      <w:pPr>
        <w:numPr>
          <w:ilvl w:val="0"/>
          <w:numId w:val="4"/>
        </w:numPr>
      </w:pPr>
      <w:r w:rsidRPr="009F32DC">
        <w:t>Langfristige Wertsteigerungschancen</w:t>
      </w:r>
    </w:p>
    <w:p w14:paraId="32DEF1F2" w14:textId="77777777" w:rsidR="009F32DC" w:rsidRPr="009F32DC" w:rsidRDefault="009F32DC" w:rsidP="009F32DC">
      <w:pPr>
        <w:numPr>
          <w:ilvl w:val="0"/>
          <w:numId w:val="5"/>
        </w:numPr>
      </w:pPr>
      <w:r w:rsidRPr="009F32DC">
        <w:t>Eigennutzungsmöglichkeit als Flexibilitätsoption</w:t>
      </w:r>
    </w:p>
    <w:p w14:paraId="2DF496E6" w14:textId="77777777" w:rsidR="009F32DC" w:rsidRPr="009F32DC" w:rsidRDefault="009F32DC" w:rsidP="009F32DC">
      <w:pPr>
        <w:rPr>
          <w:b/>
          <w:bCs/>
        </w:rPr>
      </w:pPr>
      <w:r w:rsidRPr="009F32DC">
        <w:rPr>
          <w:b/>
          <w:bCs/>
        </w:rPr>
        <w:t>Risiken und Nachteile: Diese Stolperfallen sollten Sie kennen</w:t>
      </w:r>
    </w:p>
    <w:p w14:paraId="1B4DC20F" w14:textId="77777777" w:rsidR="009F32DC" w:rsidRPr="009F32DC" w:rsidRDefault="009F32DC" w:rsidP="009F32DC">
      <w:r w:rsidRPr="009F32DC">
        <w:t>Das größte Problem vieler Immobilieninvestoren ist das sogenannte Klumpenrisiko: Der Großteil des Geldes, das dem Vermögensaufbau oder der Altersvorsorge dienen soll, ist an eine einzige Kapitalanlage gebunden. Verliert diese Kapitalanlage an Wert – seien es Aktien, Immobilien, Edelmetalle oder andere Anlageformen – ist die Gefahr von Vermögensverlusten oder Liquiditätsengpässen stark erhöht.</w:t>
      </w:r>
    </w:p>
    <w:p w14:paraId="111A7E63" w14:textId="77777777" w:rsidR="009F32DC" w:rsidRPr="009F32DC" w:rsidRDefault="009F32DC" w:rsidP="009F32DC">
      <w:r w:rsidRPr="009F32DC">
        <w:t>Das Klumpenrisiko entsteht, weil Immobilieninvestments meist große Kapitalbeträge erfordern. Wer beispielsweise 300.000 Euro in eine Eigentumswohnung investiert, hat einen Großteil seines Vermögens in einem einzigen Objekt gebunden. Fällt diese Investition schlecht aus, ist ein erheblicher Teil des Vermögens betroffen.</w:t>
      </w:r>
    </w:p>
    <w:p w14:paraId="406F53A3" w14:textId="77777777" w:rsidR="009F32DC" w:rsidRPr="009F32DC" w:rsidRDefault="009F32DC" w:rsidP="009F32DC">
      <w:r w:rsidRPr="009F32DC">
        <w:t>Weitere erhebliche Risiken sind Mietausfälle und Leerstände: Wenn ein Bewohner plötzlich nicht mehr seine Miete zahlen kann oder das Objekt für einen längeren Zeitraum vom Leerstand betroffen ist, fehlen diese Einnahmen. Besondere Vorsicht gilt bei sogenannten Mietnomaden. Dabei handelt es sich um Mieter einer Wohnung oder eines Hauses, die schon beim Einzug nicht die Absicht haben, ihre Miete zu zahlen. Verlassen sie die Immobilie – meist nach einer Räumungsklage – ziehen sie oft weiter, ohne ihre Mietschulden zu begleichen.</w:t>
      </w:r>
    </w:p>
    <w:p w14:paraId="09E86C7C" w14:textId="77777777" w:rsidR="009F32DC" w:rsidRPr="009F32DC" w:rsidRDefault="009F32DC" w:rsidP="009F32DC">
      <w:r w:rsidRPr="009F32DC">
        <w:t>Liquiditätsprobleme entstehen, weil Immobilien nicht schnell verkauft werden können. Im Notfall oder bei veränderten Lebensumständen kann es Monate oder Jahre dauern, bis das gebundene Kapital wieder verfügbar ist.</w:t>
      </w:r>
    </w:p>
    <w:p w14:paraId="3496837A" w14:textId="77777777" w:rsidR="009F32DC" w:rsidRPr="009F32DC" w:rsidRDefault="009F32DC" w:rsidP="009F32DC">
      <w:r w:rsidRPr="009F32DC">
        <w:t>Die wichtigsten Risiken zusammengefasst:</w:t>
      </w:r>
    </w:p>
    <w:p w14:paraId="0D3E9C2A" w14:textId="77777777" w:rsidR="009F32DC" w:rsidRPr="009F32DC" w:rsidRDefault="009F32DC" w:rsidP="009F32DC">
      <w:pPr>
        <w:numPr>
          <w:ilvl w:val="0"/>
          <w:numId w:val="6"/>
        </w:numPr>
      </w:pPr>
      <w:r w:rsidRPr="009F32DC">
        <w:t>Klumpenrisiko durch hohe Einzelinvestition</w:t>
      </w:r>
    </w:p>
    <w:p w14:paraId="35F9BD9E" w14:textId="77777777" w:rsidR="009F32DC" w:rsidRPr="009F32DC" w:rsidRDefault="009F32DC" w:rsidP="009F32DC">
      <w:pPr>
        <w:numPr>
          <w:ilvl w:val="0"/>
          <w:numId w:val="7"/>
        </w:numPr>
      </w:pPr>
      <w:r w:rsidRPr="009F32DC">
        <w:t>Mangelnde Liquidität und lange Verkaufszeiten</w:t>
      </w:r>
    </w:p>
    <w:p w14:paraId="48EC1F61" w14:textId="77777777" w:rsidR="009F32DC" w:rsidRPr="009F32DC" w:rsidRDefault="009F32DC" w:rsidP="009F32DC">
      <w:pPr>
        <w:numPr>
          <w:ilvl w:val="0"/>
          <w:numId w:val="8"/>
        </w:numPr>
      </w:pPr>
      <w:r w:rsidRPr="009F32DC">
        <w:lastRenderedPageBreak/>
        <w:t>Mietausfälle und Leerstandsrisiko</w:t>
      </w:r>
    </w:p>
    <w:p w14:paraId="257CA2EF" w14:textId="77777777" w:rsidR="009F32DC" w:rsidRPr="009F32DC" w:rsidRDefault="009F32DC" w:rsidP="009F32DC">
      <w:pPr>
        <w:numPr>
          <w:ilvl w:val="0"/>
          <w:numId w:val="9"/>
        </w:numPr>
      </w:pPr>
      <w:r w:rsidRPr="009F32DC">
        <w:t>Hohe Instandhaltungskosten und unvorhergesehene Reparaturen</w:t>
      </w:r>
    </w:p>
    <w:p w14:paraId="3983645F" w14:textId="77777777" w:rsidR="009F32DC" w:rsidRPr="009F32DC" w:rsidRDefault="009F32DC" w:rsidP="009F32DC">
      <w:pPr>
        <w:numPr>
          <w:ilvl w:val="0"/>
          <w:numId w:val="10"/>
        </w:numPr>
      </w:pPr>
      <w:r w:rsidRPr="009F32DC">
        <w:t>Rechtliche Komplexität im Mietrecht</w:t>
      </w:r>
    </w:p>
    <w:p w14:paraId="00AE572C" w14:textId="77777777" w:rsidR="009F32DC" w:rsidRPr="009F32DC" w:rsidRDefault="009F32DC" w:rsidP="009F32DC">
      <w:pPr>
        <w:numPr>
          <w:ilvl w:val="0"/>
          <w:numId w:val="11"/>
        </w:numPr>
      </w:pPr>
      <w:r w:rsidRPr="009F32DC">
        <w:t>Regionale Marktrisiken und demografische Entwicklungen</w:t>
      </w:r>
    </w:p>
    <w:p w14:paraId="3B52F17A" w14:textId="77777777" w:rsidR="009F32DC" w:rsidRPr="009F32DC" w:rsidRDefault="009F32DC" w:rsidP="009F32DC">
      <w:pPr>
        <w:rPr>
          <w:b/>
          <w:bCs/>
        </w:rPr>
      </w:pPr>
      <w:r w:rsidRPr="009F32DC">
        <w:rPr>
          <w:b/>
          <w:bCs/>
        </w:rPr>
        <w:t>Strategien für erfolgreiche Immobilieninvestments</w:t>
      </w:r>
    </w:p>
    <w:p w14:paraId="78069B87" w14:textId="77777777" w:rsidR="009F32DC" w:rsidRPr="009F32DC" w:rsidRDefault="009F32DC" w:rsidP="009F32DC">
      <w:r w:rsidRPr="009F32DC">
        <w:t>Experten empfehlen, dass eine selbstgenutzte Immobilie zum Zeitpunkt des Renteneintritts maximal 50 Prozent des Gesamtvermögens ausmachen sollte. Das verbleibende Kapital sollte diversifiziert in liquide Anlagen wie Anleihen, Aktien oder Rohstoffe investiert werden. Bei Investitionsobjekten zur Vermietung sollte der Anteil eines einzelnen Objekts sogar deutlich unter der 50-Prozent-Marke liegen, um das Risiko breiter zu streuen.</w:t>
      </w:r>
    </w:p>
    <w:p w14:paraId="308976EA" w14:textId="77777777" w:rsidR="009F32DC" w:rsidRPr="009F32DC" w:rsidRDefault="009F32DC" w:rsidP="009F32DC">
      <w:r w:rsidRPr="009F32DC">
        <w:t>Für den Einstieg gilt: Banken erwarten in der Regel eine Eigenkapitalquote von 20 bis 25 Prozent – manchmal sogar von 30 Prozent. Um dieses Eigenkapital aufzubauen, können sich verschiedene Optionen eignen, vom Bausparen über Festgeld bis hin zu ETFs. Dabei kommt es auf die Risikobereitschaft, die Restdauer bis zum Kauf und das erforderliche Restkapital an.</w:t>
      </w:r>
    </w:p>
    <w:p w14:paraId="24A3C600" w14:textId="77777777" w:rsidR="009F32DC" w:rsidRPr="009F32DC" w:rsidRDefault="009F32DC" w:rsidP="009F32DC">
      <w:r w:rsidRPr="009F32DC">
        <w:t>Besonders wichtig ist die Standortwahl: Die Regel "Lage, Lage, Lage" ist nicht altmodisch, sondern aktueller denn je. Immobilien in Regionen mit stabiler Bevölkerung, guter Infrastruktur und Arbeitsplätzen bleiben gefragt. Besonders energieeffiziente Gebäude entwickeln sich immer stärker zum Preistreiber.</w:t>
      </w:r>
    </w:p>
    <w:p w14:paraId="39EFC36B" w14:textId="77777777" w:rsidR="009F32DC" w:rsidRPr="009F32DC" w:rsidRDefault="009F32DC" w:rsidP="009F32DC">
      <w:r w:rsidRPr="009F32DC">
        <w:t>Eine Möglichkeit, das Klumpenrisiko zu senken, besteht darin, die Tilgung nicht auf das Maximum zu setzen, sondern einen Teil der monatlichen Sparrate in einen weltweit gestreuten Aktienfonds oder ETF fließen zu lassen. So bauen Sie parallel zur Entschuldung ein liquides Vermögen auf, das unabhängig vom Immobilienmarkt am Kapitalmarkt partizipiert.</w:t>
      </w:r>
    </w:p>
    <w:p w14:paraId="3E28BC68" w14:textId="77777777" w:rsidR="009F32DC" w:rsidRPr="009F32DC" w:rsidRDefault="009F32DC" w:rsidP="009F32DC">
      <w:pPr>
        <w:rPr>
          <w:b/>
          <w:bCs/>
        </w:rPr>
      </w:pPr>
      <w:r w:rsidRPr="009F32DC">
        <w:rPr>
          <w:b/>
          <w:bCs/>
        </w:rPr>
        <w:t>Fazit: Immobilien mit neuer Perspektive bewerten</w:t>
      </w:r>
    </w:p>
    <w:p w14:paraId="3BD0C822" w14:textId="77777777" w:rsidR="009F32DC" w:rsidRPr="009F32DC" w:rsidRDefault="009F32DC" w:rsidP="009F32DC">
      <w:r w:rsidRPr="009F32DC">
        <w:t xml:space="preserve">Immobilien bleiben auch 2026 eine interessante Anlageoption – allerdings mit deutlich veränderten Rahmenbedingungen. Die Zeiten der "sicheren Bank" mit garantierten Renditen sind vorbei. Stattdessen erfordern erfolgreiche Immobilieninvestments heute mehr denn je eine professionelle Herangehensweise: sorgfältige Standortwahl, realistische Renditekalkulationen, ausreichende Eigenkapitalausstattung und vor allem eine diversifizierte Gesamtstrategie. Im Jahr 2025 finden Sie wieder verzinste und sichere Formen der Geldanlage. Die alten Argumente zugunsten der vermieteten Immobilie sind schwächer geworden. Umso mehr sollten Sie überlegen, ob eine Immobilie zur Kapitalanlage für Sie die richtige Entscheidung ist. </w:t>
      </w:r>
    </w:p>
    <w:p w14:paraId="539A9ED6" w14:textId="77777777" w:rsidR="009F32DC" w:rsidRPr="009F32DC" w:rsidRDefault="009F32DC" w:rsidP="009F32DC">
      <w:r w:rsidRPr="009F32DC">
        <w:t>Wer die genannten Faktoren beachtet und Immobilien als einen Baustein unter mehreren in der Vermögensplanung betrachtet, kann durchaus attraktive Renditen erzielen. Wichtig ist jedoch, dass Sie sich der Risiken bewusst sind und nicht blind dem Mythos vom "sicheren Betongold" folgen.</w:t>
      </w:r>
    </w:p>
    <w:p w14:paraId="196AB749" w14:textId="77777777" w:rsidR="001823CB" w:rsidRDefault="001823CB"/>
    <w:sectPr w:rsidR="001823C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463C1"/>
    <w:multiLevelType w:val="multilevel"/>
    <w:tmpl w:val="48EC1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063361"/>
    <w:multiLevelType w:val="multilevel"/>
    <w:tmpl w:val="866A0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F10754"/>
    <w:multiLevelType w:val="multilevel"/>
    <w:tmpl w:val="C89A5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D50914"/>
    <w:multiLevelType w:val="multilevel"/>
    <w:tmpl w:val="DCD20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776673"/>
    <w:multiLevelType w:val="multilevel"/>
    <w:tmpl w:val="20AE3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983E46"/>
    <w:multiLevelType w:val="multilevel"/>
    <w:tmpl w:val="6AAA8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F52217"/>
    <w:multiLevelType w:val="multilevel"/>
    <w:tmpl w:val="145EA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7E736B"/>
    <w:multiLevelType w:val="multilevel"/>
    <w:tmpl w:val="3BE2D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A204AF"/>
    <w:multiLevelType w:val="multilevel"/>
    <w:tmpl w:val="DA905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577D32"/>
    <w:multiLevelType w:val="multilevel"/>
    <w:tmpl w:val="85629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DA2CF2"/>
    <w:multiLevelType w:val="multilevel"/>
    <w:tmpl w:val="FB2A1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4933433">
    <w:abstractNumId w:val="2"/>
  </w:num>
  <w:num w:numId="2" w16cid:durableId="1600672738">
    <w:abstractNumId w:val="1"/>
  </w:num>
  <w:num w:numId="3" w16cid:durableId="1578593736">
    <w:abstractNumId w:val="5"/>
  </w:num>
  <w:num w:numId="4" w16cid:durableId="2144422220">
    <w:abstractNumId w:val="10"/>
  </w:num>
  <w:num w:numId="5" w16cid:durableId="78256913">
    <w:abstractNumId w:val="3"/>
  </w:num>
  <w:num w:numId="6" w16cid:durableId="1943295834">
    <w:abstractNumId w:val="0"/>
  </w:num>
  <w:num w:numId="7" w16cid:durableId="1009790082">
    <w:abstractNumId w:val="6"/>
  </w:num>
  <w:num w:numId="8" w16cid:durableId="390347231">
    <w:abstractNumId w:val="4"/>
  </w:num>
  <w:num w:numId="9" w16cid:durableId="1291012500">
    <w:abstractNumId w:val="8"/>
  </w:num>
  <w:num w:numId="10" w16cid:durableId="1937053405">
    <w:abstractNumId w:val="9"/>
  </w:num>
  <w:num w:numId="11" w16cid:durableId="10388195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C07"/>
    <w:rsid w:val="00053C07"/>
    <w:rsid w:val="001823CB"/>
    <w:rsid w:val="007E394E"/>
    <w:rsid w:val="009F32D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4630731-B705-4924-8A38-199B60020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053C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053C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053C07"/>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053C07"/>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053C07"/>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053C07"/>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053C07"/>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053C07"/>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053C07"/>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53C07"/>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053C07"/>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053C07"/>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053C07"/>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053C07"/>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053C07"/>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053C07"/>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053C07"/>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053C07"/>
    <w:rPr>
      <w:rFonts w:eastAsiaTheme="majorEastAsia" w:cstheme="majorBidi"/>
      <w:color w:val="272727" w:themeColor="text1" w:themeTint="D8"/>
    </w:rPr>
  </w:style>
  <w:style w:type="paragraph" w:styleId="Titel">
    <w:name w:val="Title"/>
    <w:basedOn w:val="Standard"/>
    <w:next w:val="Standard"/>
    <w:link w:val="TitelZchn"/>
    <w:uiPriority w:val="10"/>
    <w:qFormat/>
    <w:rsid w:val="00053C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053C07"/>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053C07"/>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053C07"/>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053C07"/>
    <w:pPr>
      <w:spacing w:before="160"/>
      <w:jc w:val="center"/>
    </w:pPr>
    <w:rPr>
      <w:i/>
      <w:iCs/>
      <w:color w:val="404040" w:themeColor="text1" w:themeTint="BF"/>
    </w:rPr>
  </w:style>
  <w:style w:type="character" w:customStyle="1" w:styleId="ZitatZchn">
    <w:name w:val="Zitat Zchn"/>
    <w:basedOn w:val="Absatz-Standardschriftart"/>
    <w:link w:val="Zitat"/>
    <w:uiPriority w:val="29"/>
    <w:rsid w:val="00053C07"/>
    <w:rPr>
      <w:i/>
      <w:iCs/>
      <w:color w:val="404040" w:themeColor="text1" w:themeTint="BF"/>
    </w:rPr>
  </w:style>
  <w:style w:type="paragraph" w:styleId="Listenabsatz">
    <w:name w:val="List Paragraph"/>
    <w:basedOn w:val="Standard"/>
    <w:uiPriority w:val="34"/>
    <w:qFormat/>
    <w:rsid w:val="00053C07"/>
    <w:pPr>
      <w:ind w:left="720"/>
      <w:contextualSpacing/>
    </w:pPr>
  </w:style>
  <w:style w:type="character" w:styleId="IntensiveHervorhebung">
    <w:name w:val="Intense Emphasis"/>
    <w:basedOn w:val="Absatz-Standardschriftart"/>
    <w:uiPriority w:val="21"/>
    <w:qFormat/>
    <w:rsid w:val="00053C07"/>
    <w:rPr>
      <w:i/>
      <w:iCs/>
      <w:color w:val="0F4761" w:themeColor="accent1" w:themeShade="BF"/>
    </w:rPr>
  </w:style>
  <w:style w:type="paragraph" w:styleId="IntensivesZitat">
    <w:name w:val="Intense Quote"/>
    <w:basedOn w:val="Standard"/>
    <w:next w:val="Standard"/>
    <w:link w:val="IntensivesZitatZchn"/>
    <w:uiPriority w:val="30"/>
    <w:qFormat/>
    <w:rsid w:val="00053C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053C07"/>
    <w:rPr>
      <w:i/>
      <w:iCs/>
      <w:color w:val="0F4761" w:themeColor="accent1" w:themeShade="BF"/>
    </w:rPr>
  </w:style>
  <w:style w:type="character" w:styleId="IntensiverVerweis">
    <w:name w:val="Intense Reference"/>
    <w:basedOn w:val="Absatz-Standardschriftart"/>
    <w:uiPriority w:val="32"/>
    <w:qFormat/>
    <w:rsid w:val="00053C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1160</Words>
  <Characters>7314</Characters>
  <Application>Microsoft Office Word</Application>
  <DocSecurity>0</DocSecurity>
  <Lines>60</Lines>
  <Paragraphs>16</Paragraphs>
  <ScaleCrop>false</ScaleCrop>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 Hahn</dc:creator>
  <cp:keywords/>
  <dc:description/>
  <cp:lastModifiedBy>Nicole Hahn</cp:lastModifiedBy>
  <cp:revision>2</cp:revision>
  <dcterms:created xsi:type="dcterms:W3CDTF">2026-04-04T17:54:00Z</dcterms:created>
  <dcterms:modified xsi:type="dcterms:W3CDTF">2026-04-04T17:54:00Z</dcterms:modified>
</cp:coreProperties>
</file>