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Inflation</w:t>
      </w:r>
    </w:p>
    <w:p>
      <w:r>
        <w:rPr>
          <w:i/>
        </w:rPr>
        <w:t>Ursachen, Folgen und praktische Tipps zur Inflation verstehen</w:t>
      </w:r>
    </w:p>
    <w:p>
      <w:pPr>
        <w:pStyle w:val="Heading1"/>
      </w:pPr>
      <w:r>
        <w:t>Inflation in Deutschland 2026: Ursachen und Auswirkungen</w:t>
      </w:r>
    </w:p>
    <w:p>
      <w:r>
        <w:t>Die Inflationsrate in Deutschland ist im März 2026 deutlich angestiegen. Nachdem sie im Februar bei 1,9 % lag, kletterte sie im März auf 2,7 % – der höchste Wert seit Januar 2024. Diese Entwicklung zeigt, wie schnell sich die wirtschaftliche Lage ändern kann und welche Folgen geopolitische Konflikte für die Preisstabilität haben. Die Ursachen liegen hauptsächlich bei den Energiepreisen, die durch Spannungen im Nahen Osten unter Druck geraten sind.</w:t>
      </w:r>
    </w:p>
    <w:p>
      <w:pPr>
        <w:pStyle w:val="Heading2"/>
      </w:pPr>
      <w:r>
        <w:t>Aktuelle Inflationsentwicklung in Deutschland</w:t>
      </w:r>
    </w:p>
    <w:p>
      <w:r>
        <w:t>Im März 2026 betrug die Inflationsrate gemessen am Verbraucherpreisindex 2,7 % gegenüber dem Vorjahresmonat. Der harmonisierte europäische Index (HVPI) lag bei 2,8 %. Diese Werte markieren einen spürbaren Anstieg nach den niedrigeren Teuerungsraten der Vormonaten.</w:t>
      </w:r>
    </w:p>
    <w:p>
      <w:r>
        <w:t>Die Kerninflation – also die Inflationsrate ohne volatile Komponenten wie Nahrungsmittel und Energie – betrug im März 2,5 % und zeigte damit Stabilität. Dies deutet darauf hin, dass der aktuelle Preisauftrieb primär durch externe Schocks bei Energiepreisen getrieben wird, nicht durch eine breitere Preisdynamik in der Wirtschaft.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Monat</w:t>
            </w:r>
          </w:p>
        </w:tc>
        <w:tc>
          <w:tcPr>
            <w:tcW w:type="dxa" w:w="2340"/>
          </w:tcPr>
          <w:p>
            <w:r>
              <w:rPr>
                <w:b/>
              </w:rPr>
              <w:t>Gesamtinflation</w:t>
            </w:r>
          </w:p>
        </w:tc>
        <w:tc>
          <w:tcPr>
            <w:tcW w:type="dxa" w:w="2340"/>
          </w:tcPr>
          <w:p>
            <w:r>
              <w:rPr>
                <w:b/>
              </w:rPr>
              <w:t>Energiepreise</w:t>
            </w:r>
          </w:p>
        </w:tc>
        <w:tc>
          <w:tcPr>
            <w:tcW w:type="dxa" w:w="2340"/>
          </w:tcPr>
          <w:p>
            <w:r>
              <w:rPr>
                <w:b/>
              </w:rPr>
              <w:t>Kerninflation</w:t>
            </w:r>
          </w:p>
        </w:tc>
      </w:tr>
      <w:tr>
        <w:tc>
          <w:tcPr>
            <w:tcW w:type="dxa" w:w="2340"/>
          </w:tcPr>
          <w:p>
            <w:r>
              <w:t>Januar 2026</w:t>
            </w:r>
          </w:p>
        </w:tc>
        <w:tc>
          <w:tcPr>
            <w:tcW w:type="dxa" w:w="2340"/>
          </w:tcPr>
          <w:p>
            <w:r>
              <w:t>2,1%</w:t>
            </w:r>
          </w:p>
        </w:tc>
        <w:tc>
          <w:tcPr>
            <w:tcW w:type="dxa" w:w="2340"/>
          </w:tcPr>
          <w:p>
            <w:r>
              <w:t>–</w:t>
            </w:r>
          </w:p>
        </w:tc>
        <w:tc>
          <w:tcPr>
            <w:tcW w:type="dxa" w:w="2340"/>
          </w:tcPr>
          <w:p>
            <w:r>
              <w:t>2,5%</w:t>
            </w:r>
          </w:p>
        </w:tc>
      </w:tr>
      <w:tr>
        <w:tc>
          <w:tcPr>
            <w:tcW w:type="dxa" w:w="2340"/>
          </w:tcPr>
          <w:p>
            <w:r>
              <w:t>Februar 2026</w:t>
            </w:r>
          </w:p>
        </w:tc>
        <w:tc>
          <w:tcPr>
            <w:tcW w:type="dxa" w:w="2340"/>
          </w:tcPr>
          <w:p>
            <w:r>
              <w:t>1,9%</w:t>
            </w:r>
          </w:p>
        </w:tc>
        <w:tc>
          <w:tcPr>
            <w:tcW w:type="dxa" w:w="2340"/>
          </w:tcPr>
          <w:p>
            <w:r>
              <w:t>-1,9%</w:t>
            </w:r>
          </w:p>
        </w:tc>
        <w:tc>
          <w:tcPr>
            <w:tcW w:type="dxa" w:w="2340"/>
          </w:tcPr>
          <w:p>
            <w:r>
              <w:t>2,5%</w:t>
            </w:r>
          </w:p>
        </w:tc>
      </w:tr>
      <w:tr>
        <w:tc>
          <w:tcPr>
            <w:tcW w:type="dxa" w:w="2340"/>
          </w:tcPr>
          <w:p>
            <w:r>
              <w:t>März 2026</w:t>
            </w:r>
          </w:p>
        </w:tc>
        <w:tc>
          <w:tcPr>
            <w:tcW w:type="dxa" w:w="2340"/>
          </w:tcPr>
          <w:p>
            <w:r>
              <w:t>2,7%</w:t>
            </w:r>
          </w:p>
        </w:tc>
        <w:tc>
          <w:tcPr>
            <w:tcW w:type="dxa" w:w="2340"/>
          </w:tcPr>
          <w:p>
            <w:r>
              <w:t>+7,2%</w:t>
            </w:r>
          </w:p>
        </w:tc>
        <w:tc>
          <w:tcPr>
            <w:tcW w:type="dxa" w:w="2340"/>
          </w:tcPr>
          <w:p>
            <w:r>
              <w:t>2,5%</w:t>
            </w:r>
          </w:p>
        </w:tc>
      </w:tr>
    </w:tbl>
    <w:p>
      <w:pPr>
        <w:pStyle w:val="Heading2"/>
      </w:pPr>
      <w:r>
        <w:t>Geopolitische Spannungen als Inflationstreiber</w:t>
      </w:r>
    </w:p>
    <w:p>
      <w:r>
        <w:t>Der Konflikt im Iran und die daraus resultierenden Störungen der globalen Energieversorgung sind Haupttreiber der gestiegenen Inflationsrate. Nach Angaben des Statistischen Bundesamtes stiegen die Energiepreise im März um 7,2 % gegenüber dem Vorjahresmonat – erstmals seit Dezember 2023 wieder nach oben. Dies ist der unmittelbare Effekt von Lieferunterbrechungen und Produktionsbeschränkungen bei Öl und Gas.</w:t>
      </w:r>
    </w:p>
    <w:p>
      <w:r>
        <w:t>Konkret berichtet das Institut für Makroökonomie und Konjunkturforschung, dass Lieferengpässe entstanden sind, nachdem Raffinerien, Häfen und Energieanlagen in der arabischen Golfregion angegriffen wurden. Die Straße von Hormus, durch die etwa 20 % des weltweiten Ölhandels fließt, ist seitdem eingeschränkt befahrbar. Diese geografische Engstelle erhöht die Transportrisiken und damit die Energiepreise weltweit.</w:t>
      </w:r>
    </w:p>
    <w:p>
      <w:pPr>
        <w:pStyle w:val="Heading2"/>
      </w:pPr>
      <w:r>
        <w:t>Belastung für Haushalte bei Energie und Lebensmitteln</w:t>
      </w:r>
    </w:p>
    <w:p>
      <w:r>
        <w:t>Die Folgen für Verbraucher sind unmittelbar spürbar. Die Energiepreise zogen innerhalb weniger Wochen um 7,7 % an. Bei Kraftstoffen fiel der Preisanstieg noch deutlicher aus: Benzin und Diesel verteuerten sich um 15,6 %, wobei Diesel mit +22,6 % besonders stark belastet ist. Heizöl wurde um 43,2 % teurer – eine massive Belastung für Haushalte, die auf diese Energieträger angewiesen sind.</w:t>
      </w:r>
    </w:p>
    <w:p>
      <w:r>
        <w:t>Bei Lebensmitteln zeigt sich ein differenziertes Bild. Während die Gesamtteuerung bei Nahrungsmitteln nur 0,9 % betrug, verteuerten sich einzelne Kategorien erheblich: Zucker und Süßwaren stiegen um 6,1 %, Obst um 4,7 %, Gemüse um 3,8 % und Fleisch um 3,6 %. Entlastung brachten dagegen Speisefette und Speiseöle mit -17,6 %, darunter Butter (-29,1 %) und Olivenöl (-11,8 %). Auch Molkereiprodukte wurden günstiger (-5,4 %).</w:t>
      </w:r>
    </w:p>
    <w:p>
      <w:pPr>
        <w:pStyle w:val="Heading2"/>
      </w:pPr>
      <w:r>
        <w:t>Dienstleistungen und Wohnungsmarkt</w:t>
      </w:r>
    </w:p>
    <w:p>
      <w:r>
        <w:t>Die Preise für Dienstleistungen insgesamt stiegen im März 2026 um 3,2 % gegenüber dem Vorjahresmonat und liegen damit über der Gesamtinflation. Diese Dynamik hält bereits seit Januar 2024 an. Besonders Dienstleistungen sozialer Einrichtungen (+7,0 %) und der Personennahverkehr (+6,2 %) wurden teurer. Die Erhöhung des Deutschlandtickets von 58 auf 63 Euro zu Jahresbeginn schlug dabei direkt auf die Verbraucherpreise durch.</w:t>
      </w:r>
    </w:p>
    <w:p>
      <w:r>
        <w:t>Die Nettokaltmieten stiegen um 1,9 %. Diese kontinuierliche Belastung ist für Haushalte mit niedrigen Einkommen besonders kritisch, da Wohnungsausgaben einen großen Anteil ihres Budgets ausmachen und inflationär oft nicht angepasst werden.</w:t>
      </w:r>
    </w:p>
    <w:p>
      <w:pPr>
        <w:pStyle w:val="Heading2"/>
      </w:pPr>
      <w:r>
        <w:t>Perspektiven und Wirtschaftliche Prognosen</w:t>
      </w:r>
    </w:p>
    <w:p>
      <w:r>
        <w:t>Die Bundesbank prognostiziert für 2026 eine durchschnittliche Inflationsrate von 2,2 %. Für 2027 und 2028 wird mit rund 2,0 % gerechnet – dem Zielwert der Europäischen Zentralbank. Allerdings könnte die aktuelle Energiekrise diese Prognosen überholen. Der Bankenverband arbeitet mit zwei Szenarien: Das Basisszenario geht von sinkenden Energiekosten in vier bis sechs Wochen aus. Im pessimistischeren Szenario bleiben die Energiepreise über Monate erhöht, was zu einer Inflation von 3 % und Wachstumsverlangsamung führen könnte.</w:t>
      </w:r>
    </w:p>
    <w:p>
      <w:r>
        <w:t>Für Verbraucher bedeutet anhaltende Inflation konkret: Ersparnisse verlieren an Kaufkraft, Löhne und Renten werden entwertet, soweit sie nicht angepasst werden. Vermögen und Einkommen verteilen sich neu – Sparer und Rentner verlieren systematisch, während Kreditnehmer profitieren.</w:t>
      </w:r>
    </w:p>
    <w:p>
      <w:pPr>
        <w:pStyle w:val="Heading2"/>
      </w:pPr>
      <w:r>
        <w:t>Fazit</w:t>
      </w:r>
    </w:p>
    <w:p>
      <w:r>
        <w:t>Die Inflation ist 2026 mit voller Kraft nach Deutschland zurückgekehrt. Ein geopolitischer Konflikt im Nahen Osten hat den Energiepreisanstieg ausgelöst und die Teuerungsrate innerhalb kurzer Zeit massiv erhöht. Während die Kerninflation stabil bleibt, sind es vor allem Energiekosten, die den Druck erzeugen. Verbraucher spüren dies bei Kraftstoffen, Heizöl und differenziert bei Lebensmitteln. Die Nettomieten erhöhen den Druck auf Haushalte mit niedrigen Einkommen zusätzlich. Die kommenden Monate sind entscheidend dafür, ob eine diplomatische Lösung zu sinkenden Energiepreisen führt oder eine längerfristige Teuerungsphase entsteht. Für Verbraucher ist flexible Budgetplanung, kritisches Monitoring der Energieausgaben und möglicherweise die Überprüfung der Sparstrategie ratsam.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