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Investition in Sachwerte</w:t>
      </w:r>
    </w:p>
    <w:p>
      <w:r>
        <w:rPr>
          <w:i/>
        </w:rPr>
        <w:t>Vermögen sichern: Immobilien, Gold &amp; Co richtig nutzen</w:t>
      </w:r>
    </w:p>
    <w:p>
      <w:pPr>
        <w:pStyle w:val="Heading1"/>
      </w:pPr>
      <w:r>
        <w:t>Investition in Sachwerte</w:t>
      </w:r>
    </w:p>
    <w:p>
      <w:r>
        <w:t>In Zeiten wirtschaftlicher Unsicherheit und anhaltender Inflationssorgen gewinnen Sachwerte als Investitionsalternative an Bedeutung. Während traditionelle Anlagen wie Sparbücher oder Staatsanleihen kaum noch reale Erträge abwerfen, bieten physische Wertgegenstände die Möglichkeit, Vermögen vor Kaufkraftverlust zu schützen und von Wertsteigerungen zu profitieren. Besonders in einem Umfeld niedriger Zinsen werden Sachwerte für viele Anleger zur ersten Wahl.</w:t>
      </w:r>
    </w:p>
    <w:p>
      <w:pPr>
        <w:pStyle w:val="Heading2"/>
      </w:pPr>
      <w:r>
        <w:t>Immobilien als Kernanlage</w:t>
      </w:r>
    </w:p>
    <w:p>
      <w:r>
        <w:t>Immobilien bleiben die klassische Kernanlage unter den Sachwerten. Sie bieten einen natürlichen Inflationsschutz, da sowohl Mieten als auch Immobilienwerte tendenziell mit der Inflation steigen. Besonders interessant sind Immobilien in aufstrebenden Lagen oder mit Sanierungspotenzial, da hier zusätzliche Wertsteigerungschancen entstehen. Durch die steigenden Energiekosten gewinnen energieeffiziente Immobilien an Bedeutung und wirken sich positiv auf deren Wertentwicklung und Vermietbarkeit aus.</w:t>
      </w:r>
    </w:p>
    <w:p>
      <w:r>
        <w:t>Eine innovative Variante stellen Photovoltaik-Direktinvestments dar. Diese kombinieren mehrere Vorteile: Die staatlich garantierte EEG-Vergütung sichert über 20 Jahre planbare Erträge von 5–8 Prozent pro Jahr. Zusätzlich bieten sie erhebliche Steuervorteile durch den Investitionsabzugsbetrag und Sonderabschreibungen. Als Sachwertanlage sind sie weitgehend inflationsgeschützt und profitieren von steigenden Energiepreisen.</w:t>
      </w:r>
    </w:p>
    <w:p>
      <w:pPr>
        <w:pStyle w:val="Heading2"/>
      </w:pPr>
      <w:r>
        <w:t>Edelmetalle im Anlagefokus</w:t>
      </w:r>
    </w:p>
    <w:p>
      <w:r>
        <w:t>Gold steht weiterhin im Zentrum des Anlegerinteresses. Im Jahr 2025 stieg der Goldpreis von rund 2.700 US-Dollar zu Jahresbeginn auf etwa 4.000 US-Dollar pro Unze. Die Weltbank erwartet für 2026 einen durchschnittlichen Goldpreis von etwa 3.575 US-Dollar je Unze. Die Bewertung des Edelmetalls hat sich damit deutlich normalisiert nach der starken Kursentwicklung des Vorjahres.</w:t>
      </w:r>
    </w:p>
    <w:p>
      <w:r>
        <w:t>Silber präsentiert sich als interessante Alternative mit robuster Nachfrageperspektive. Die Weltbank prognostiziert für 2026 einen Durchschnittspreis von rund 41 US-Dollar je Unze. Die industrielle Verwendung bleibt ein starker Treiber: Photovoltaik, Halbleiter und Energiewendetechnologien gehören zu den wichtigsten Silberabnehmern und sichern eine kontinuierliche Nachfrage.</w:t>
      </w:r>
    </w:p>
    <w:p>
      <w:pPr>
        <w:pStyle w:val="Heading2"/>
      </w:pPr>
      <w:r>
        <w:t>Industriemetalle und Rohstoffe</w:t>
      </w:r>
    </w:p>
    <w:p>
      <w:r>
        <w:t>Bei den Basismetallen wird für 2026 ein solides Umfeld erwartet. Die industrielle Nachfrage dürfte insbesondere durch Investitionen in die Energiewende sowie durch neue Technologien gestützt werden. Kupfer steht dabei besonders im Fokus, da es in zahlreichen Produkten Anwendung findet und für die Energiewende unabdingbar ist. Produktionsausfälle in Indonesien und Chile unterstützen die Preise, während die Kupfernachfrage das Angebot überschreiten dürfte.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Rohstoff</w:t>
            </w:r>
          </w:p>
        </w:tc>
        <w:tc>
          <w:tcPr>
            <w:tcW w:type="dxa" w:w="3120"/>
          </w:tcPr>
          <w:p>
            <w:r>
              <w:rPr>
                <w:b/>
              </w:rPr>
              <w:t>Prognose 2026</w:t>
            </w:r>
          </w:p>
        </w:tc>
        <w:tc>
          <w:tcPr>
            <w:tcW w:type="dxa" w:w="3120"/>
          </w:tcPr>
          <w:p>
            <w:r>
              <w:rPr>
                <w:b/>
              </w:rPr>
              <w:t>Treiber</w:t>
            </w:r>
          </w:p>
        </w:tc>
      </w:tr>
      <w:tr>
        <w:tc>
          <w:tcPr>
            <w:tcW w:type="dxa" w:w="3120"/>
          </w:tcPr>
          <w:p>
            <w:r>
              <w:t>Gold</w:t>
            </w:r>
          </w:p>
        </w:tc>
        <w:tc>
          <w:tcPr>
            <w:tcW w:type="dxa" w:w="3120"/>
          </w:tcPr>
          <w:p>
            <w:r>
              <w:t>3.575 USD/Unze</w:t>
            </w:r>
          </w:p>
        </w:tc>
        <w:tc>
          <w:tcPr>
            <w:tcW w:type="dxa" w:w="3120"/>
          </w:tcPr>
          <w:p>
            <w:r>
              <w:t>Geopolitische Unsicherheit, Zentralbankkäufe</w:t>
            </w:r>
          </w:p>
        </w:tc>
      </w:tr>
      <w:tr>
        <w:tc>
          <w:tcPr>
            <w:tcW w:type="dxa" w:w="3120"/>
          </w:tcPr>
          <w:p>
            <w:r>
              <w:t>Silber</w:t>
            </w:r>
          </w:p>
        </w:tc>
        <w:tc>
          <w:tcPr>
            <w:tcW w:type="dxa" w:w="3120"/>
          </w:tcPr>
          <w:p>
            <w:r>
              <w:t>41 USD/Unze</w:t>
            </w:r>
          </w:p>
        </w:tc>
        <w:tc>
          <w:tcPr>
            <w:tcW w:type="dxa" w:w="3120"/>
          </w:tcPr>
          <w:p>
            <w:r>
              <w:t>Industrielle Nachfrage, Energiewende</w:t>
            </w:r>
          </w:p>
        </w:tc>
      </w:tr>
      <w:tr>
        <w:tc>
          <w:tcPr>
            <w:tcW w:type="dxa" w:w="3120"/>
          </w:tcPr>
          <w:p>
            <w:r>
              <w:t>Kupfer</w:t>
            </w:r>
          </w:p>
        </w:tc>
        <w:tc>
          <w:tcPr>
            <w:tcW w:type="dxa" w:w="3120"/>
          </w:tcPr>
          <w:p>
            <w:r>
              <w:t>11.000+ USD/Tonne</w:t>
            </w:r>
          </w:p>
        </w:tc>
        <w:tc>
          <w:tcPr>
            <w:tcW w:type="dxa" w:w="3120"/>
          </w:tcPr>
          <w:p>
            <w:r>
              <w:t>KI-Investitionen, Elektromobilität</w:t>
            </w:r>
          </w:p>
        </w:tc>
      </w:tr>
    </w:tbl>
    <w:p>
      <w:r>
        <w:t>Bei Energierohstoffen herrscht Zurückhaltung vor. Produktionsüberschüsse und hohe Lagerhaltung werden auch im ersten Halbjahr 2026 noch Druck ausüben. Der Ölmarkt ist überversorgt, sodass Preise deutlich über 60 US-Dollar pro Fass bis zum Frühsommer kaum zu erwarten sind.</w:t>
      </w:r>
    </w:p>
    <w:p>
      <w:pPr>
        <w:pStyle w:val="Heading2"/>
      </w:pPr>
      <w:r>
        <w:t>Alternative Sachwerte und Sammlerstücke</w:t>
      </w:r>
    </w:p>
    <w:p>
      <w:r>
        <w:t>Investitionen in Kunstwerke und Antiquitäten können hohe Renditen abwerfen, erfordern jedoch gutes Marktverständnis und sorgfältige Auswahl. Luxusuhren haben sich als besonders stabile Sachwertanlage etabliert. Hochwertige Uhren von Marken wie Rolex, Patek Philippe oder Audemars Piguet behalten ihren Wert über Jahre hinweg und können bei richtiger Pflege eine signifikante Wertsteigerung erfahren.</w:t>
      </w:r>
    </w:p>
    <w:p>
      <w:r>
        <w:t>Empirische Daten zeigen beeindruckende Wertentwicklungen: Whiskey erzielte Zuwächse von bis zu 373 Prozent in zehn Jahren, Oldtimer bis zu 185 Prozent, Kunstwerke bis zu 91 Prozent und Uhren bis zu 147 Prozent. Neuerdings besteht auch die Möglichkeit, Anteile an Sammlerstücken zu erwerben. Plattformen wie Timeless bieten ab 50 Euro pro Anteil die Gelegenheit, in begehrte Luxusuhren zu investieren.</w:t>
      </w:r>
    </w:p>
    <w:p>
      <w:pPr>
        <w:pStyle w:val="Heading2"/>
      </w:pPr>
      <w:r>
        <w:t>Strategische Planung und Risiken</w:t>
      </w:r>
    </w:p>
    <w:p>
      <w:r>
        <w:t>Die Investition in Sachwerte erfordert eine durchdachte Herangehensweise. Es gibt keine universell beste Wertanlage – die optimale Anlageform hängt von Ihren individuellen Zielen, Ihrer Risikobereitschaft und Ihrem Anlagehorizont ab. Der Schlüssel zu einer sicheren und rentablen Geldanlage liegt in der ausgewogenen Kombination verschiedener Investments.</w:t>
      </w:r>
    </w:p>
    <w:p>
      <w:r>
        <w:t>Wichtige Faktoren beim Sachwert-Investment:</w:t>
      </w:r>
    </w:p>
    <w:p>
      <w:pPr>
        <w:pStyle w:val="ListBullet"/>
      </w:pPr>
      <w:r>
        <w:rPr>
          <w:b/>
        </w:rPr>
        <w:t>Liquidität:</w:t>
      </w:r>
      <w:r>
        <w:t xml:space="preserve"> Sachwerte lassen sich oft nicht so schnell verkaufen wie Aktien</w:t>
      </w:r>
    </w:p>
    <w:p>
      <w:pPr>
        <w:pStyle w:val="ListBullet"/>
      </w:pPr>
      <w:r>
        <w:rPr>
          <w:b/>
        </w:rPr>
        <w:t>Lagerung und Pflege:</w:t>
      </w:r>
      <w:r>
        <w:t xml:space="preserve"> Kosten für Aufbewahrung und Instandhaltung fallen an</w:t>
      </w:r>
    </w:p>
    <w:p>
      <w:pPr>
        <w:pStyle w:val="ListBullet"/>
      </w:pPr>
      <w:r>
        <w:rPr>
          <w:b/>
        </w:rPr>
        <w:t>Expertise:</w:t>
      </w:r>
      <w:r>
        <w:t xml:space="preserve"> Fachkenntnisse über den jeweiligen Markt sind erforderlich</w:t>
      </w:r>
    </w:p>
    <w:p>
      <w:pPr>
        <w:pStyle w:val="ListBullet"/>
      </w:pPr>
      <w:r>
        <w:rPr>
          <w:b/>
        </w:rPr>
        <w:t>Diversifikation:</w:t>
      </w:r>
      <w:r>
        <w:t xml:space="preserve"> Streuung über verschiedene Sachwert-Kategorien reduziert Risiken</w:t>
      </w:r>
    </w:p>
    <w:p>
      <w:pPr>
        <w:pStyle w:val="Heading2"/>
      </w:pPr>
      <w:r>
        <w:t>Fazit</w:t>
      </w:r>
    </w:p>
    <w:p>
      <w:r>
        <w:t>In einem Umfeld, in dem Staaten Schulden über Inflation entwerten und sichere Zinsen real negativ ausfallen, sind Sachwerte die logische Antwort für langfristig orientierte Anleger. Die Kombination aus Inflationsschutz, Wertstabilität und physischer Wertsubstanz macht Sachwerte zu einer wichtigen Säule einer ausgewogenen Anlagestrategie. Top-Sachwertanlagen bieten durchschnittliche Renditen von 5–8 Prozent bei deutlich geringerem Risiko als viele traditionelle Geldanlagen. Dies macht sie zu einer attraktiven Alternative für Anleger, die ihr Vermögen vor Kaufkraftverlust schützen und gleichzeitig von Wertsteigerungen profitieren möchten.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