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Körperschaftsteuer</w:t>
      </w:r>
    </w:p>
    <w:p>
      <w:r>
        <w:rPr>
          <w:i/>
        </w:rPr>
        <w:t>Körperschaftsteuer für Unternehmen: Steuersätze, Berechnung &amp; Sparpotenziale</w:t>
      </w:r>
    </w:p>
    <w:p>
      <w:pPr>
        <w:pStyle w:val="Heading1"/>
      </w:pPr>
      <w:r>
        <w:t>Körperschaftsteuer</w:t>
      </w:r>
    </w:p>
    <w:p>
      <w:r>
        <w:t>Die Körperschaftsteuer ist die Steuer, die Kapitalgesellschaften auf ihre Gewinne zahlen – vor allem GmbHs, UGs und AGs als juristische Personen. Sie fungiert als Pendant zur Einkommensteuer bei natürlichen Personen. Die kommenden Reformen ab 2028 führen bereits heute zu erheblichen Auswirkungen auf die Finanzplanung von Unternehmen und machen eine frühzeitige Vorbereitung notwendig.</w:t>
      </w:r>
    </w:p>
    <w:p>
      <w:pPr>
        <w:pStyle w:val="Heading2"/>
      </w:pPr>
      <w:r>
        <w:t>Steuersatz und Gesamtbelastung</w:t>
      </w:r>
    </w:p>
    <w:p>
      <w:r>
        <w:t>Der Körperschaftsteuersatz beträgt aktuell 15 Prozent des zu versteuernden Einkommens. Hinzu kommt der Solidaritätszuschlag von 5,5 Prozent auf die Körperschaftsteuer, was einer Gesamtbelastung von etwa 15,825 Prozent entspricht.</w:t>
      </w:r>
    </w:p>
    <w:p>
      <w:r>
        <w:t>Zusätzlich zur Körperschaftsteuer und zum Solidaritätszuschlag zahlen Kapitalgesellschaften noch Gewerbesteuer. Mit einem durchschnittlichen Hebesatz von etwa 400 Prozent ergibt sich eine Gewerbesteuerbelastung von etwa 14 Prozent. Insgesamt liegt die aktuelle Gesamtbelastung für eine Kapitalgesellschaft bei rund 29,8 Prozent. Ein praktisches Beispiel: Bei einem Gewinn von 100.000 Euro ermittelt sich die Körperschaftsteuer mit 15.000 Euro, zuzüglich Solidaritätszuschlag von 825 Euro.</w:t>
      </w:r>
    </w:p>
    <w:p>
      <w:pPr>
        <w:pStyle w:val="Heading2"/>
      </w:pPr>
      <w:r>
        <w:t>Geplante Steuersatzsenkung ab 2028</w:t>
      </w:r>
    </w:p>
    <w:p>
      <w:r>
        <w:t>Zum 1. Januar 2028 beginnt eine schrittweise Reduzierung der Körperschaftsteuer. Der Satz sinkt um jeweils einen Prozentpunkt pro Jahr, bis er 2032 bei 10 Prozent ankommt. Diese Reform ist Teil des Investitionsprogramms der Bundesregierung zur Stärkung des Wirtschaftsstandorts Deutschland.</w:t>
      </w:r>
    </w:p>
    <w:p>
      <w:r>
        <w:t>Folgende Entwicklung ist vorgesehen: 2026–2027 beträgt der Satz 15 Prozent (15,825 Prozent mit Solidaritätszuschlag), 2028 sinkt er auf 14 Prozent (14,77 Prozent mit Soli), 2029 auf 13 Prozent (13,715 Prozent), 2030 auf 12 Prozent (12,66 Prozent), 2031 auf 11 Prozent (11,605 Prozent) und ab 2032 auf 10 Prozent (10,55 Prozent mit Soli). Damit reduziert sich die Gesamtbelastung aus Körperschaftsteuer, Solidaritätszuschlag und Gewerbesteuer von etwa 29,8 Prozent auf rund 25 Prozent ab 2032.</w:t>
      </w:r>
    </w:p>
    <w:p>
      <w:r>
        <w:t>Die politische Diskussion um ein früheres Vorziehen der Reform ist noch nicht abgeschlossen. Einzelne Bundesländer, darunter die CSU, fordern ein rückwirktes Vorziehen ab dem 1. Januar 2026. Ob und wann dieses tatsächlich umgesetzt wird, ist derzeit noch offen und sollte von Unternehmen aufmerksam verfolgt werden.</w:t>
      </w:r>
    </w:p>
    <w:p>
      <w:pPr>
        <w:pStyle w:val="Heading2"/>
      </w:pPr>
      <w:r>
        <w:t>Steuerpflichtige Rechtsformen</w:t>
      </w:r>
    </w:p>
    <w:p>
      <w:r>
        <w:t>Nicht alle Unternehmensformen zahlen Körperschaftsteuer. Unbeschränkt steuerpflichtig sind Körperschaften, deren Geschäftsleitung oder Sitz im Inland liegt – sie versteuern ihr gesamtes Welteinkommen. Beschränkt steuerpflichtige Körperschaften zahlen hingegen nur auf inländische Einkünfte.</w:t>
      </w:r>
    </w:p>
    <w:p>
      <w:r>
        <w:t>Personengesellschaften wie GbR, OHG oder KG unterliegen nicht der Körperschaftsteuer. Ihre Einkünfte werden einheitlich und gesondert festgestellt und anteilig den Gesellschaftern zugerechnet, die dann Einkommensteuer zahlen.</w:t>
      </w:r>
    </w:p>
    <w:p>
      <w:r>
        <w:t>Für bestimmte Körperschaften existieren Freibeträge: Ein allgemeiner Freibetrag von 5.000 Euro kann vom Einkommen abgezogen werden. Allerdings gilt der Gewerbesteuer-Freibetrag von 24.500 Euro nur für Einzelunternehmen und Personengesellschaften. Kapitalgesellschaften wie GmbH oder UG zahlen Gewerbesteuer ab dem ersten Euro Gewinn – es gibt für sie keinen Freibetrag.</w:t>
      </w:r>
    </w:p>
    <w:p>
      <w:pPr>
        <w:pStyle w:val="Heading2"/>
      </w:pPr>
      <w:r>
        <w:t>Solidaritätszuschlag ohne Vergünstigungen</w:t>
      </w:r>
    </w:p>
    <w:p>
      <w:r>
        <w:t>Der Solidaritätszuschlag wird auf die Körperschaftsteuer und Kapitalertragsteuer erhoben. Im Gegensatz zu natürlichen Personen, die seit 2021 von erheblichen Entlastungen profitieren, zahlen Kapitalgesellschaften den vollen Zuschlagssatz von 5,5 Prozent ohne Freigrenze oder Minderungen. Dies gilt unabhängig von der Höhe des Gewinns.</w:t>
      </w:r>
    </w:p>
    <w:p>
      <w:r>
        <w:t>Damit tragen Kapitalgesellschaften eine unverhältnismäßig höhere Belastung durch den Solidaritätszuschlag als viele Privatpersonen – ein Punkt, der in der Debatte um Steuergerechtigkeit zunehmend kritisiert wird.</w:t>
      </w:r>
    </w:p>
    <w:p>
      <w:pPr>
        <w:pStyle w:val="Heading2"/>
      </w:pPr>
      <w:r>
        <w:t>Herausforderungen für die Finanzplanung</w:t>
      </w:r>
    </w:p>
    <w:p>
      <w:r>
        <w:t>Die stufenweise Körperschaftsteuersenkung erfordert erhebliche Anpassungen in Handels- und Steuerbilanz. Unternehmen müssen latente Steuern neu bewerten und dabei künftig bis zu sechs verschiedene Steuersätze berücksichtigen – je nachdem, in welchem Jahr die temporären Differenzen aufgelöst werden.</w:t>
      </w:r>
    </w:p>
    <w:p>
      <w:r>
        <w:t>Viele Rechnungswesen-Systeme sind mit dieser Komplexität überfordert. Unternehmen sollten daher frühzeitig ihre IT-Infrastruktur anpassen und erfahrene Steuerberater einbeziehen. Ein praktisches Beispiel verdeutlicht die Herausforderung: Passive latente Steuern, die unter Annahme eines 30-Prozent-Steuersatzes berechnet wurden, müssen neu bewertet werden, wenn sich der tatsächliche Steuersatz im Auflösungsjahr unterscheidet. Dies kann zu erheblichen Steuerertragsschwankungen führen.</w:t>
      </w:r>
    </w:p>
    <w:p>
      <w:pPr>
        <w:pStyle w:val="Heading2"/>
      </w:pPr>
      <w:r>
        <w:t>Fazit</w:t>
      </w:r>
    </w:p>
    <w:p>
      <w:r>
        <w:t>Die Körperschaftsteuer steht vor der größten Reform seit fast zwei Jahrzehnten. Die schrittweise Senkung des Steuersatzes von 15 auf 10 Prozent ab 2032 verbessert die Wettbewerbsfähigkeit des Standorts Deutschland erheblich. Die Gesamtbelastung sinkt von derzeit etwa 30 Prozent auf rund 25 Prozent.</w:t>
      </w:r>
    </w:p>
    <w:p>
      <w:r>
        <w:t>Gleichzeitig entstehen für Unternehmen neue administrative Herausforderungen bei der Berechnung latenter Steuern. Eine enge Abstimmung mit dem Steuerberater ist notwendig. Unternehmen sollten bereits heute ihre Systeme und Prozesse an die kommenden Änderungen anpassen, um die geplanten Entlastungen optimal nutzen zu können. Zudem lohnt sich die Beobachtung der politischen Diskussionen um mögliches Vorziehen der Reform.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