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KfW Förderung</w:t>
      </w:r>
    </w:p>
    <w:p>
      <w:r>
        <w:rPr>
          <w:i/>
        </w:rPr>
        <w:t>KfW Förderung 2026: Aktuelle Programme, Konditionen und Anspruchsvoraussetzungen</w:t>
      </w:r>
    </w:p>
    <w:p>
      <w:pPr>
        <w:pStyle w:val="Heading1"/>
      </w:pPr>
      <w:r>
        <w:t>KfW-Förderung 2026: Chancen und Konditionen</w:t>
      </w:r>
    </w:p>
    <w:p>
      <w:r>
        <w:t>Die KfW-Förderung bleibt 2026 ein zentraler Baustein der deutschen Wohnungs- und Energiepolitik. Die Kreditanstalt für Wiederaufbau (KfW) ist der größte Förderer für Wohneigentum in Deutschland. Die Programmlandschaft hat sich deutlich verändert: Alte Programme sind ausgelaufen, neue hinzugekommen, Bedingungen wurden angepasst. Die Bundesförderung für effiziente Gebäude (BEG) bildet das Herzstück der staatlichen Unterstützung und bietet sowohl Kredite als auch direkte Zuschüsse für verschiedene Zielgruppen.</w:t>
      </w:r>
    </w:p>
    <w:p>
      <w:pPr>
        <w:pStyle w:val="Heading2"/>
      </w:pPr>
      <w:r>
        <w:t>Die wichtigsten KfW-Förderprogramme 2026</w:t>
      </w:r>
    </w:p>
    <w:p>
      <w:r>
        <w:rPr>
          <w:b/>
        </w:rPr>
        <w:t>Neubauförderung</w:t>
      </w:r>
      <w:r>
        <w:t>: Das Programm KfW 300 bietet bis zu 270.000 Euro zu Sonderkonditionen für Familien, die bestimmte Einkommensgrenzen einhalten. Die Programme 297 und 298 fördern den Neubau und Erstkauf klimafreundlicher Wohngebäude. Seit dem 2. März 2026 gelten neue Spitzenkonditionen: Für Effizienzhaus-40-Neubauten liegt der Zinssatz bei 0,6 Prozent, für das neu eingeführte Effizienzhaus-55-Niveau bei 1,0 Prozent – jeweils bei 10 Jahren Laufzeit. Pro Wohneinheit sind bis zu 150.000 Euro Kredit möglich.</w:t>
      </w:r>
    </w:p>
    <w:p>
      <w:r>
        <w:rPr>
          <w:b/>
        </w:rPr>
        <w:t>Sanierungsförderung</w:t>
      </w:r>
      <w:r>
        <w:t>: KfW 261 bietet Kredite mit Tilgungszuschuss für Komplettsanierungen zum Effizienzhaus (bis 150.000 Euro Kredit und bis 45 Prozent Zuschuss). KfW 358/359 stellt Ergänzungskredite bei fehlendem Eigenkapital bereits ab 0,01 Prozent bereit.</w:t>
      </w:r>
    </w:p>
    <w:p>
      <w:r>
        <w:rPr>
          <w:b/>
        </w:rPr>
        <w:t>Heizungsförderung</w:t>
      </w:r>
      <w:r>
        <w:t>: Das Programm KfW 458 gewährt Zuschüsse für Heizungstausch bis zu 70 Prozent, maximal 21.000 Euro. Die KfW-Förderung für Sanierungen unterstützt mit zinsgünstigen Krediten, Tilgungszuschüssen von bis zu 45 Prozent und direkten Zuschüssen von bis zu 70 Prozent für den Heizungstausch.</w:t>
      </w:r>
    </w:p>
    <w:p>
      <w:pPr>
        <w:pStyle w:val="Heading2"/>
      </w:pPr>
      <w:r>
        <w:t>Zielgruppen und Einkommensgrenzen</w:t>
      </w:r>
    </w:p>
    <w:p>
      <w:r>
        <w:rPr>
          <w:b/>
        </w:rPr>
        <w:t>Familien mit Kindern</w:t>
      </w:r>
      <w:r>
        <w:t>: Das Förderprogramm KfW 300 richtet sich an Familien mit niedrigem oder mittlerem Einkommen. Sie erhalten zinsgünstigen Kredit bis zu 270.000 Euro für den Bau oder Kauf eines klimafreundlichen Neubaus. Das zu versteuernde Haushaltseinkommen darf maximal 90.000 Euro bei einem Kind betragen, plus 10.000 Euro für jedes weitere Kind.</w:t>
      </w:r>
    </w:p>
    <w:p>
      <w:r>
        <w:rPr>
          <w:b/>
        </w:rPr>
        <w:t>Alle Bauherren</w:t>
      </w:r>
      <w:r>
        <w:t>: Wer selbst genutztes Wohneigentum kauft oder baut – ohne Einkommensgrenze und ohne energetische Anforderungen – kann das Programm KfW 124 nutzen.</w:t>
      </w:r>
    </w:p>
    <w:p>
      <w:r>
        <w:rPr>
          <w:b/>
        </w:rPr>
        <w:t>Sanierer und Investoren</w:t>
      </w:r>
      <w:r>
        <w:t>: Antragsberechtigt sind Hauseigentümer, Wohnungseigentümergemeinschaften, Contractoren, Unternehmen, gemeinnützige Organisationen und Kommunen bei Sanierungen von Wohngebäuden und Nichtwohngebäuden.</w:t>
      </w:r>
    </w:p>
    <w:p>
      <w:pPr>
        <w:pStyle w:val="Heading2"/>
      </w:pPr>
      <w:r>
        <w:t>Aktuelle Zinssätze und Konditionen März 2026</w:t>
      </w:r>
    </w:p>
    <w:p>
      <w:r>
        <w:t>Die KfW hat ihre Konditionen deutlich verbessert. Zum 2. März 2026 sinken die Zinssätze im Programm „Klimafreundlicher Neubau": Für den Effizienzhaus-55-Standard beträgt der Kreditzins 1,0 Prozent effektiv pro Jahr bei zehn Jahren Laufzeit und Zinsbindung. Für den Effizienzhaus-40-Standard liegt der Zinssatz bei 0,6 Prozent effektiv pro Jahr.</w:t>
      </w:r>
    </w:p>
    <w:p>
      <w:r>
        <w:t>Das Familienprogramm bietet besonders attraktive Konditionen: Bei 10-jähriger Laufzeit und Zinsbindung beträgt der Sollzins 0,01 Prozent. Für eine längere Rückzahlungsdauer von bis zu 25 Jahren werden für die ersten 10 Jahre aktuell 0,95 Prozent Sollzins verlangt.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Programm</w:t>
            </w:r>
          </w:p>
        </w:tc>
        <w:tc>
          <w:tcPr>
            <w:tcW w:type="dxa" w:w="2340"/>
          </w:tcPr>
          <w:p>
            <w:r>
              <w:rPr>
                <w:b/>
              </w:rPr>
              <w:t>Zinssatz (10 Jahre)</w:t>
            </w:r>
          </w:p>
        </w:tc>
        <w:tc>
          <w:tcPr>
            <w:tcW w:type="dxa" w:w="2340"/>
          </w:tcPr>
          <w:p>
            <w:r>
              <w:rPr>
                <w:b/>
              </w:rPr>
              <w:t>Maximaler Kredit</w:t>
            </w:r>
          </w:p>
        </w:tc>
        <w:tc>
          <w:tcPr>
            <w:tcW w:type="dxa" w:w="2340"/>
          </w:tcPr>
          <w:p>
            <w:r>
              <w:rPr>
                <w:b/>
              </w:rPr>
              <w:t>Zielgruppe</w:t>
            </w:r>
          </w:p>
        </w:tc>
      </w:tr>
      <w:tr>
        <w:tc>
          <w:tcPr>
            <w:tcW w:type="dxa" w:w="2340"/>
          </w:tcPr>
          <w:p>
            <w:r>
              <w:t>KfW 300 (Familien)</w:t>
            </w:r>
          </w:p>
        </w:tc>
        <w:tc>
          <w:tcPr>
            <w:tcW w:type="dxa" w:w="2340"/>
          </w:tcPr>
          <w:p>
            <w:r>
              <w:t>0,01–0,95 %</w:t>
            </w:r>
          </w:p>
        </w:tc>
        <w:tc>
          <w:tcPr>
            <w:tcW w:type="dxa" w:w="2340"/>
          </w:tcPr>
          <w:p>
            <w:r>
              <w:t>bis 270.000 €</w:t>
            </w:r>
          </w:p>
        </w:tc>
        <w:tc>
          <w:tcPr>
            <w:tcW w:type="dxa" w:w="2340"/>
          </w:tcPr>
          <w:p>
            <w:r>
              <w:t>Familien mit Kindern</w:t>
            </w:r>
          </w:p>
        </w:tc>
      </w:tr>
      <w:tr>
        <w:tc>
          <w:tcPr>
            <w:tcW w:type="dxa" w:w="2340"/>
          </w:tcPr>
          <w:p>
            <w:r>
              <w:t>KfW 297/298 (Klimafreundlicher Neubau)</w:t>
            </w:r>
          </w:p>
        </w:tc>
        <w:tc>
          <w:tcPr>
            <w:tcW w:type="dxa" w:w="2340"/>
          </w:tcPr>
          <w:p>
            <w:r>
              <w:t>0,6–1,0 %</w:t>
            </w:r>
          </w:p>
        </w:tc>
        <w:tc>
          <w:tcPr>
            <w:tcW w:type="dxa" w:w="2340"/>
          </w:tcPr>
          <w:p>
            <w:r>
              <w:t>bis 150.000 €</w:t>
            </w:r>
          </w:p>
        </w:tc>
        <w:tc>
          <w:tcPr>
            <w:tcW w:type="dxa" w:w="2340"/>
          </w:tcPr>
          <w:p>
            <w:r>
              <w:t>Alle Bauherren</w:t>
            </w:r>
          </w:p>
        </w:tc>
      </w:tr>
      <w:tr>
        <w:tc>
          <w:tcPr>
            <w:tcW w:type="dxa" w:w="2340"/>
          </w:tcPr>
          <w:p>
            <w:r>
              <w:t>KfW 124 (Wohneigentum)</w:t>
            </w:r>
          </w:p>
        </w:tc>
        <w:tc>
          <w:tcPr>
            <w:tcW w:type="dxa" w:w="2340"/>
          </w:tcPr>
          <w:p>
            <w:r>
              <w:t>3,4–3,8 %</w:t>
            </w:r>
          </w:p>
        </w:tc>
        <w:tc>
          <w:tcPr>
            <w:tcW w:type="dxa" w:w="2340"/>
          </w:tcPr>
          <w:p>
            <w:r>
              <w:t>bis 100.000 €</w:t>
            </w:r>
          </w:p>
        </w:tc>
        <w:tc>
          <w:tcPr>
            <w:tcW w:type="dxa" w:w="2340"/>
          </w:tcPr>
          <w:p>
            <w:r>
              <w:t>Alle ohne Beschränkung</w:t>
            </w:r>
          </w:p>
        </w:tc>
      </w:tr>
      <w:tr>
        <w:tc>
          <w:tcPr>
            <w:tcW w:type="dxa" w:w="2340"/>
          </w:tcPr>
          <w:p>
            <w:r>
              <w:t>KfW 261 (Sanierung)</w:t>
            </w:r>
          </w:p>
        </w:tc>
        <w:tc>
          <w:tcPr>
            <w:tcW w:type="dxa" w:w="2340"/>
          </w:tcPr>
          <w:p>
            <w:r>
              <w:t>2,23–2,77 %</w:t>
            </w:r>
          </w:p>
        </w:tc>
        <w:tc>
          <w:tcPr>
            <w:tcW w:type="dxa" w:w="2340"/>
          </w:tcPr>
          <w:p>
            <w:r>
              <w:t>bis 150.000 €</w:t>
            </w:r>
          </w:p>
        </w:tc>
        <w:tc>
          <w:tcPr>
            <w:tcW w:type="dxa" w:w="2340"/>
          </w:tcPr>
          <w:p>
            <w:r>
              <w:t>Sanierer</w:t>
            </w:r>
          </w:p>
        </w:tc>
      </w:tr>
    </w:tbl>
    <w:p>
      <w:pPr>
        <w:pStyle w:val="Heading2"/>
      </w:pPr>
      <w:r>
        <w:t>BAFA-Förderung für Einzelmaßnahmen</w:t>
      </w:r>
    </w:p>
    <w:p>
      <w:r>
        <w:t>Parallel zur KfW bietet das BAFA einen Grundfördersatz von 15 Prozent der förderfähigen Ausgaben für energetische Einzelmaßnahmen. Bei Umsetzung im Rahmen eines individuellen Sanierungsfahrplans (iSFP) ist ein zusätzlicher Förderbonus von 5 Prozent möglich, sodass insgesamt 20 Prozent Zuschuss gewährt werden.</w:t>
      </w:r>
    </w:p>
    <w:p>
      <w:r>
        <w:t>Die Höchstgrenze der förderfähigen Ausgaben beträgt 30.000 Euro pro Wohneinheit ohne iSFP. Mit iSFP-Bonus erhöht sich die Grenze auf 60.000 Euro pro Wohneinheit. Förderfähige Maßnahmen umfassen Dämmung von Außenwänden, Dach und Kellerdecke, Austausch von Fenstern und Außentüren, Heizungsoptimierung und Lüftungsanlagen.</w:t>
      </w:r>
    </w:p>
    <w:p>
      <w:pPr>
        <w:pStyle w:val="Heading2"/>
      </w:pPr>
      <w:r>
        <w:t>Kombination von Förderprogrammen und Antragstellung</w:t>
      </w:r>
    </w:p>
    <w:p>
      <w:r>
        <w:t>Seit dem 1. Januar 2024 können BAFA- und KfW-Förderungen wieder kombiniert werden. So lassen sich Sanierungsmaßnahmen zur Erreichung eines KfW-Effizienzhausstandards mit zusätzlichen Zuschüssen für Einzelmaßnahmen kombinieren. Eine doppelte Förderung einzelner Maßnahmen ist jedoch nicht zulässig.</w:t>
      </w:r>
    </w:p>
    <w:p>
      <w:r>
        <w:t>Die Programme 297 und 298 lassen sich mit vielen Landes- und Kommunalförderungen kombinieren. Das Programm KfW 300 (Wohneigentum für Familien) kann für dieselbe Wohneinheit jedoch nicht mit anderen Programmen kombiniert werden.</w:t>
      </w:r>
    </w:p>
    <w:p>
      <w:r>
        <w:t>Wichtig ist die Antragstellung vor Auftragserteilung: Den Förderantrag müssen Sie stellen, bevor Sie einen verbindlichen Auftrag für Sanierungsarbeiten vergeben. Haben Sie die Arbeiten bereits beauftragt oder begonnen, entfällt die Förderung. Für viele Programme ist ein Energieeffizienz-Experte erforderlich. Die BAFA bezuschusst die Kosten für den Energieberater mit bis zu 80 Prozent.</w:t>
      </w:r>
    </w:p>
    <w:p>
      <w:pPr>
        <w:pStyle w:val="Heading2"/>
      </w:pPr>
      <w:r>
        <w:t>Fazit</w:t>
      </w:r>
    </w:p>
    <w:p>
      <w:r>
        <w:t>Die KfW-Förderung 2026 bietet erhebliche finanzielle Vorteile für alle Zielgruppen. Besonders Familien profitieren von Zinssätzen ab 0,01 Prozent und Kreditbeträgen bis 270.000 Euro. Die Zinssenkung zum März 2026 macht klimafreundliches Bauen noch attraktiver, während die BAFA-Förderung mit bis zu 20 Prozent Zuschuss eine sinnvolle Ergänzung darstellt. Die Bundesregierung finanziert die Bundesförderung für effiziente Gebäude bis 2029. Eine frühzeitige und professionelle Planung mit Energieberatern ist unerlässlich, um maximale Fördervorteile zu sichern und alle technischen Anforderungen zu erfüllen.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