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Pflegegrade</w:t>
      </w:r>
    </w:p>
    <w:p>
      <w:r>
        <w:rPr>
          <w:i/>
        </w:rPr>
        <w:t>Pflegegrade erklärt: Einstufung, Leistungen und Ansprüche</w:t>
      </w:r>
    </w:p>
    <w:p>
      <w:pPr>
        <w:pStyle w:val="Heading1"/>
      </w:pPr>
      <w:r>
        <w:t>Pflegegrade: Einstufung und Leistungen im Überblick</w:t>
      </w:r>
    </w:p>
    <w:p>
      <w:r>
        <w:t>Die fünf Pflegegrade bilden das Fundament der deutschen Pflegeversicherung und regeln die Höhe monatlicher Leistungen. Seit 2017 ersetzen sie die früheren Pflegestufen und bewerten nicht mehr den Zeitaufwand der Pflege, sondern die Selbstständigkeit im Alltag. Im Jahr 2026 bleiben alle Leistungsbeträge unverändert gegenüber 2025. Die nächste Anpassung ist frühestens zum 1. Januar 2028 vorgesehen.</w:t>
      </w:r>
    </w:p>
    <w:p>
      <w:pPr>
        <w:pStyle w:val="Heading2"/>
      </w:pPr>
      <w:r>
        <w:t>Wie werden Pflegegrade ermittelt?</w:t>
      </w:r>
    </w:p>
    <w:p>
      <w:r>
        <w:t>Die Einstufung in einen Pflegegrad erfolgt durch ein strukturiertes Begutachtungsverfahren mit Punktesystem. Ein Gutachter vom Medizinischen Dienst oder der Medicproof GmbH besucht die pflegebedürftige Person in ihrem häuslichen Umfeld und ermittelt mithilfe eines standardisierten Fragenkatalogs den Pflegegrad.</w:t>
      </w:r>
    </w:p>
    <w:p>
      <w:r>
        <w:t>Bei der Begutachtung werden sechs verschiedene Lebensbereiche (Module) überprüft. Jedes Modul wird mit Punktzahlen bewertet und je nach Modul unterschiedlich gewichtet. Die Gesamtpunktzahl aus allen Modulen ergibt letztlich den Pflegegrad. Pflegebedürftigkeit liegt vor, wenn das Gesamtergebnis mindestens 12,5 Punkte beträgt.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**Pflegegrad**</w:t>
            </w:r>
          </w:p>
        </w:tc>
        <w:tc>
          <w:tcPr>
            <w:tcW w:type="dxa" w:w="3120"/>
          </w:tcPr>
          <w:p>
            <w:r>
              <w:rPr>
                <w:b/>
              </w:rPr>
              <w:t>**Punkte**</w:t>
            </w:r>
          </w:p>
        </w:tc>
        <w:tc>
          <w:tcPr>
            <w:tcW w:type="dxa" w:w="3120"/>
          </w:tcPr>
          <w:p>
            <w:r>
              <w:rPr>
                <w:b/>
              </w:rPr>
              <w:t>**Beeinträchtigung**</w:t>
            </w:r>
          </w:p>
        </w:tc>
      </w:tr>
      <w:tr>
        <w:tc>
          <w:tcPr>
            <w:tcW w:type="dxa" w:w="3120"/>
          </w:tcPr>
          <w:p>
            <w:r>
              <w:t>Pflegegrad 1</w:t>
            </w:r>
          </w:p>
        </w:tc>
        <w:tc>
          <w:tcPr>
            <w:tcW w:type="dxa" w:w="3120"/>
          </w:tcPr>
          <w:p>
            <w:r>
              <w:t>12,5 bis unter 27</w:t>
            </w:r>
          </w:p>
        </w:tc>
        <w:tc>
          <w:tcPr>
            <w:tcW w:type="dxa" w:w="3120"/>
          </w:tcPr>
          <w:p>
            <w:r>
              <w:t>Geringe Beeinträchtigung</w:t>
            </w:r>
          </w:p>
        </w:tc>
      </w:tr>
      <w:tr>
        <w:tc>
          <w:tcPr>
            <w:tcW w:type="dxa" w:w="3120"/>
          </w:tcPr>
          <w:p>
            <w:r>
              <w:t>Pflegegrad 2</w:t>
            </w:r>
          </w:p>
        </w:tc>
        <w:tc>
          <w:tcPr>
            <w:tcW w:type="dxa" w:w="3120"/>
          </w:tcPr>
          <w:p>
            <w:r>
              <w:t>27 bis unter 47,5</w:t>
            </w:r>
          </w:p>
        </w:tc>
        <w:tc>
          <w:tcPr>
            <w:tcW w:type="dxa" w:w="3120"/>
          </w:tcPr>
          <w:p>
            <w:r>
              <w:t>Erhebliche Beeinträchtigung</w:t>
            </w:r>
          </w:p>
        </w:tc>
      </w:tr>
      <w:tr>
        <w:tc>
          <w:tcPr>
            <w:tcW w:type="dxa" w:w="3120"/>
          </w:tcPr>
          <w:p>
            <w:r>
              <w:t>Pflegegrad 3</w:t>
            </w:r>
          </w:p>
        </w:tc>
        <w:tc>
          <w:tcPr>
            <w:tcW w:type="dxa" w:w="3120"/>
          </w:tcPr>
          <w:p>
            <w:r>
              <w:t>47,5 bis unter 70</w:t>
            </w:r>
          </w:p>
        </w:tc>
        <w:tc>
          <w:tcPr>
            <w:tcW w:type="dxa" w:w="3120"/>
          </w:tcPr>
          <w:p>
            <w:r>
              <w:t>Schwere Beeinträchtigung</w:t>
            </w:r>
          </w:p>
        </w:tc>
      </w:tr>
      <w:tr>
        <w:tc>
          <w:tcPr>
            <w:tcW w:type="dxa" w:w="3120"/>
          </w:tcPr>
          <w:p>
            <w:r>
              <w:t>Pflegegrad 4</w:t>
            </w:r>
          </w:p>
        </w:tc>
        <w:tc>
          <w:tcPr>
            <w:tcW w:type="dxa" w:w="3120"/>
          </w:tcPr>
          <w:p>
            <w:r>
              <w:t>70 bis unter 90</w:t>
            </w:r>
          </w:p>
        </w:tc>
        <w:tc>
          <w:tcPr>
            <w:tcW w:type="dxa" w:w="3120"/>
          </w:tcPr>
          <w:p>
            <w:r>
              <w:t>Schwerste Beeinträchtigung</w:t>
            </w:r>
          </w:p>
        </w:tc>
      </w:tr>
      <w:tr>
        <w:tc>
          <w:tcPr>
            <w:tcW w:type="dxa" w:w="3120"/>
          </w:tcPr>
          <w:p>
            <w:r>
              <w:t>Pflegegrad 5</w:t>
            </w:r>
          </w:p>
        </w:tc>
        <w:tc>
          <w:tcPr>
            <w:tcW w:type="dxa" w:w="3120"/>
          </w:tcPr>
          <w:p>
            <w:r>
              <w:t>90 bis 100</w:t>
            </w:r>
          </w:p>
        </w:tc>
        <w:tc>
          <w:tcPr>
            <w:tcW w:type="dxa" w:w="3120"/>
          </w:tcPr>
          <w:p>
            <w:r>
              <w:t>Schwerste Beeinträchtigung mit besonderen Anforderungen</w:t>
            </w:r>
          </w:p>
        </w:tc>
      </w:tr>
    </w:tbl>
    <w:p>
      <w:pPr>
        <w:pStyle w:val="Heading2"/>
      </w:pPr>
      <w:r>
        <w:t>Die sechs Begutachtungsmodule im Detail</w:t>
      </w:r>
    </w:p>
    <w:p>
      <w:r>
        <w:t>Die Module fließen mit festgelegter Prozentgewichtung in die Berechnung des Gesamtpunktwertes ein. Die Punktzahlen aus jedem Modul werden gewichtet und zu einem Gesamtergebnis addiert.</w:t>
      </w:r>
    </w:p>
    <w:p>
      <w:r>
        <w:rPr>
          <w:b/>
        </w:rPr>
        <w:t>Modul 1: Mobilität (10 Prozent Gewichtung)</w:t>
      </w:r>
    </w:p>
    <w:p>
      <w:r>
        <w:t>Dieses Modul bewertet, inwiefern sich die pflegebedürftige Person selbstständig bewegen kann. Dazu gehören Fähigkeiten wie eigenständiges Aufstehen, Hinlegen, Positionswechsel, Gehen und Treppensteigen.</w:t>
      </w:r>
    </w:p>
    <w:p>
      <w:r>
        <w:rPr>
          <w:b/>
        </w:rPr>
        <w:t>Module 2 und 3: Kognitive Fähigkeiten und Verhaltensweisen (gemeinsam 15 Prozent Gewichtung)</w:t>
      </w:r>
    </w:p>
    <w:p>
      <w:r>
        <w:t>Modul 2 prüft kognitive Fähigkeiten wie Orientierung und Gedächtnis. Modul 3 bezieht sich auf Verhaltensweisen und psychische Problemlagen wie Angststörungen, Aggressivität oder Wahnvorstellungen. Für die Berechnung wird nur das Modul mit dem höheren Punktwert mit den vollen 15 Prozent berücksichtigt.</w:t>
      </w:r>
    </w:p>
    <w:p>
      <w:r>
        <w:rPr>
          <w:b/>
        </w:rPr>
        <w:t>Modul 4: Selbstversorgung (40 Prozent Gewichtung)</w:t>
      </w:r>
    </w:p>
    <w:p>
      <w:r>
        <w:t>Mit 40 Prozent Gewichtung ist dies das wichtigste Modul. Es bewertet die Fähigkeit zur Körperpflege, zum Anziehen und zur Nahrungsaufnahme. Da Selbstversorgung zentral für die Pflegebedürftigkeit ist, hat es den größten Einfluss auf die Einstufung.</w:t>
      </w:r>
    </w:p>
    <w:p>
      <w:r>
        <w:rPr>
          <w:b/>
        </w:rPr>
        <w:t>Modul 5: Umgang mit Krankheit und Therapie (20 Prozent Gewichtung)</w:t>
      </w:r>
    </w:p>
    <w:p>
      <w:r>
        <w:t>Dieses Modul erfasst die Fähigkeit der pflegebedürftigen Person, mit krankheits- und therapiebedingten Anforderungen umzugehen, etwa mit Medikamenteneinnahme oder Verbandswechsel.</w:t>
      </w:r>
    </w:p>
    <w:p>
      <w:r>
        <w:rPr>
          <w:b/>
        </w:rPr>
        <w:t>Modul 6: Alltagsgestaltung und soziale Kontakte (15 Prozent Gewichtung)</w:t>
      </w:r>
    </w:p>
    <w:p>
      <w:r>
        <w:t>Die Gestaltung des Alltagslebens und die Möglichkeit, soziale Kontakte zu pflegen, werden mit 15 Prozent gewichtet.</w:t>
      </w:r>
    </w:p>
    <w:p>
      <w:pPr>
        <w:pStyle w:val="Heading2"/>
      </w:pPr>
      <w:r>
        <w:t>Pflegegeld und Leistungen 2026</w:t>
      </w:r>
    </w:p>
    <w:p>
      <w:r>
        <w:t>Die Leistungsbeträge wurden 2025 um 4,5 Prozent erhöht. Im Jahr 2026 erfolgt keine weitere Anpassung – die Beträge bleiben gegenüber 2025 unverändert.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**Pflegegrad**</w:t>
            </w:r>
          </w:p>
        </w:tc>
        <w:tc>
          <w:tcPr>
            <w:tcW w:type="dxa" w:w="2340"/>
          </w:tcPr>
          <w:p>
            <w:r>
              <w:rPr>
                <w:b/>
              </w:rPr>
              <w:t>**Pflegegeld monatlich**</w:t>
            </w:r>
          </w:p>
        </w:tc>
        <w:tc>
          <w:tcPr>
            <w:tcW w:type="dxa" w:w="2340"/>
          </w:tcPr>
          <w:p>
            <w:r>
              <w:rPr>
                <w:b/>
              </w:rPr>
              <w:t>**Pflegesachleistungen monatlich**</w:t>
            </w:r>
          </w:p>
        </w:tc>
        <w:tc>
          <w:tcPr>
            <w:tcW w:type="dxa" w:w="2340"/>
          </w:tcPr>
          <w:p>
            <w:r>
              <w:rPr>
                <w:b/>
              </w:rPr>
              <w:t>**Entlastungsbetrag monatlich**</w:t>
            </w:r>
          </w:p>
        </w:tc>
      </w:tr>
      <w:tr>
        <w:tc>
          <w:tcPr>
            <w:tcW w:type="dxa" w:w="2340"/>
          </w:tcPr>
          <w:p>
            <w:r>
              <w:t>Pflegegrad 1</w:t>
            </w:r>
          </w:p>
        </w:tc>
        <w:tc>
          <w:tcPr>
            <w:tcW w:type="dxa" w:w="2340"/>
          </w:tcPr>
          <w:p>
            <w:r>
              <w:t>—</w:t>
            </w:r>
          </w:p>
        </w:tc>
        <w:tc>
          <w:tcPr>
            <w:tcW w:type="dxa" w:w="2340"/>
          </w:tcPr>
          <w:p>
            <w:r>
              <w:t>—</w:t>
            </w:r>
          </w:p>
        </w:tc>
        <w:tc>
          <w:tcPr>
            <w:tcW w:type="dxa" w:w="2340"/>
          </w:tcPr>
          <w:p>
            <w:r>
              <w:t>131 €</w:t>
            </w:r>
          </w:p>
        </w:tc>
      </w:tr>
      <w:tr>
        <w:tc>
          <w:tcPr>
            <w:tcW w:type="dxa" w:w="2340"/>
          </w:tcPr>
          <w:p>
            <w:r>
              <w:t>Pflegegrad 2</w:t>
            </w:r>
          </w:p>
        </w:tc>
        <w:tc>
          <w:tcPr>
            <w:tcW w:type="dxa" w:w="2340"/>
          </w:tcPr>
          <w:p>
            <w:r>
              <w:t>347 €</w:t>
            </w:r>
          </w:p>
        </w:tc>
        <w:tc>
          <w:tcPr>
            <w:tcW w:type="dxa" w:w="2340"/>
          </w:tcPr>
          <w:p>
            <w:r>
              <w:t>796 €</w:t>
            </w:r>
          </w:p>
        </w:tc>
        <w:tc>
          <w:tcPr>
            <w:tcW w:type="dxa" w:w="2340"/>
          </w:tcPr>
          <w:p>
            <w:r>
              <w:t>131 €</w:t>
            </w:r>
          </w:p>
        </w:tc>
      </w:tr>
      <w:tr>
        <w:tc>
          <w:tcPr>
            <w:tcW w:type="dxa" w:w="2340"/>
          </w:tcPr>
          <w:p>
            <w:r>
              <w:t>Pflegegrad 3</w:t>
            </w:r>
          </w:p>
        </w:tc>
        <w:tc>
          <w:tcPr>
            <w:tcW w:type="dxa" w:w="2340"/>
          </w:tcPr>
          <w:p>
            <w:r>
              <w:t>599 €</w:t>
            </w:r>
          </w:p>
        </w:tc>
        <w:tc>
          <w:tcPr>
            <w:tcW w:type="dxa" w:w="2340"/>
          </w:tcPr>
          <w:p>
            <w:r>
              <w:t>1.497 €</w:t>
            </w:r>
          </w:p>
        </w:tc>
        <w:tc>
          <w:tcPr>
            <w:tcW w:type="dxa" w:w="2340"/>
          </w:tcPr>
          <w:p>
            <w:r>
              <w:t>131 €</w:t>
            </w:r>
          </w:p>
        </w:tc>
      </w:tr>
      <w:tr>
        <w:tc>
          <w:tcPr>
            <w:tcW w:type="dxa" w:w="2340"/>
          </w:tcPr>
          <w:p>
            <w:r>
              <w:t>Pflegegrad 4</w:t>
            </w:r>
          </w:p>
        </w:tc>
        <w:tc>
          <w:tcPr>
            <w:tcW w:type="dxa" w:w="2340"/>
          </w:tcPr>
          <w:p>
            <w:r>
              <w:t>800 €</w:t>
            </w:r>
          </w:p>
        </w:tc>
        <w:tc>
          <w:tcPr>
            <w:tcW w:type="dxa" w:w="2340"/>
          </w:tcPr>
          <w:p>
            <w:r>
              <w:t>1.859 €</w:t>
            </w:r>
          </w:p>
        </w:tc>
        <w:tc>
          <w:tcPr>
            <w:tcW w:type="dxa" w:w="2340"/>
          </w:tcPr>
          <w:p>
            <w:r>
              <w:t>131 €</w:t>
            </w:r>
          </w:p>
        </w:tc>
      </w:tr>
      <w:tr>
        <w:tc>
          <w:tcPr>
            <w:tcW w:type="dxa" w:w="2340"/>
          </w:tcPr>
          <w:p>
            <w:r>
              <w:t>Pflegegrad 5</w:t>
            </w:r>
          </w:p>
        </w:tc>
        <w:tc>
          <w:tcPr>
            <w:tcW w:type="dxa" w:w="2340"/>
          </w:tcPr>
          <w:p>
            <w:r>
              <w:t>990 €</w:t>
            </w:r>
          </w:p>
        </w:tc>
        <w:tc>
          <w:tcPr>
            <w:tcW w:type="dxa" w:w="2340"/>
          </w:tcPr>
          <w:p>
            <w:r>
              <w:t>2.299 €</w:t>
            </w:r>
          </w:p>
        </w:tc>
        <w:tc>
          <w:tcPr>
            <w:tcW w:type="dxa" w:w="2340"/>
          </w:tcPr>
          <w:p>
            <w:r>
              <w:t>131 €</w:t>
            </w:r>
          </w:p>
        </w:tc>
      </w:tr>
    </w:tbl>
    <w:p>
      <w:r>
        <w:t>Pflegegrad 1 sieht kein Pflegegeld vor, aber einen Entlastungsbetrag von 131 Euro monatlich sowie 42 Euro für Pflegehilfsmittel zum Verbrauch. Die nächste Anpassung ist frühestens zum 1. Januar 2028 geplant und wird dann an die Inflationsentwicklung gekoppelt.</w:t>
      </w:r>
    </w:p>
    <w:p>
      <w:pPr>
        <w:pStyle w:val="Heading2"/>
      </w:pPr>
      <w:r>
        <w:t>Wichtige Neuerungen ab 2026</w:t>
      </w:r>
    </w:p>
    <w:p>
      <w:r>
        <w:rPr>
          <w:b/>
        </w:rPr>
        <w:t>Reduzierte Beratungsbesuche</w:t>
      </w:r>
    </w:p>
    <w:p>
      <w:r>
        <w:t>Seit 2026 müssen Pflegebedürftigen der Grade 2 bis 5 nur noch zwei Beratungseinsätze pro Jahr wahrnehmen – einen pro Halbjahr. Bisher war dies für die Grade 4 und 5 mit vier Terminen deutlich aufwändiger.</w:t>
      </w:r>
    </w:p>
    <w:p>
      <w:r>
        <w:rPr>
          <w:b/>
        </w:rPr>
        <w:t>Verlängerter Pflegegeldbezug bei Klinikaufenthalten</w:t>
      </w:r>
    </w:p>
    <w:p>
      <w:r>
        <w:t>Das Pflegegeld wird ab 2026 bis zu acht Wochen bei Krankenhausaufenthalten oder Reha-Maßnahmen weitergezahlt. Zuvor galt eine 28-Tage-Frist, was einer spürbaren Verbesserung entspricht.</w:t>
      </w:r>
    </w:p>
    <w:p>
      <w:r>
        <w:rPr>
          <w:b/>
        </w:rPr>
        <w:t>Gemeinsames Entlastungsbudget</w:t>
      </w:r>
    </w:p>
    <w:p>
      <w:r>
        <w:t>Seit 1. Juli 2025 werden Verhinderungspflege und Kurzzeitpflege aus einem gemeinsamen Jahresbudget finanziert. Pflegebedürftigen ab Pflegegrad 2 steht pro Jahr ein Betrag von 3.539 Euro zur Verfügung. Das Budget kann flexibel zwischen beiden Leistungsarten aufgeteilt werden.</w:t>
      </w:r>
    </w:p>
    <w:p>
      <w:r>
        <w:rPr>
          <w:b/>
        </w:rPr>
        <w:t>Verkürzte Abrechnungsfristen</w:t>
      </w:r>
    </w:p>
    <w:p>
      <w:r>
        <w:t>Ab 2026 können Leistungen der Verhinderungspflege nur noch für das laufende und das unmittelbar vorherige Kalenderjahr abgerechnet werden.</w:t>
      </w:r>
    </w:p>
    <w:p>
      <w:pPr>
        <w:pStyle w:val="Heading2"/>
      </w:pPr>
      <w:r>
        <w:t>Antrag und Begutachtung</w:t>
      </w:r>
    </w:p>
    <w:p>
      <w:r>
        <w:t>Um Leistungen zu erhalten, kontaktieren Sie Ihre Krankenkasse und beantragen Leistungen der Pflegeversicherung. Die Kasse sendet Antragsformulare und beauftragt einen Gutachter zur Begutachtung, die in der Regel zu Hause stattfindet. Das Ergebnis liegt üblicherweise innerhalb von 25 Arbeitstagen vor.</w:t>
      </w:r>
    </w:p>
    <w:p>
      <w:r>
        <w:t>Verzögert die Pflegekasse die Bearbeitung über diese Frist hinaus, muss sie 70 Euro pro angefangene Woche zahlen. Ab 1. Januar 2026 entsteht diese Verpflichtung bereits 15 Arbeitstage nach Ablauf der regulären Frist.</w:t>
      </w:r>
    </w:p>
    <w:p>
      <w:r>
        <w:t>Bei Ablehnung oder niedriger Einstufung können Sie innerhalb von 30 Tagen Widerspruch einlegen. Etwa ein Drittel der Widersprüche führt zu einer Höhereinstufung.</w:t>
      </w:r>
    </w:p>
    <w:p>
      <w:pPr>
        <w:pStyle w:val="Heading2"/>
      </w:pPr>
      <w:r>
        <w:t>Fazit</w:t>
      </w:r>
    </w:p>
    <w:p>
      <w:r>
        <w:t>Die Pflegegrade schaffen Transparenz über Ansprüche und Leistungen. Mit den Neuerungen 2026 wird das System praxisnäher gestaltet und Pflegebedürftige sowie Angehörige erhalten mehr Flexibilität und Erleichterung. Die Leistungsbeträge selbst ändern sich 2026 nicht – Erhöhungen erfolgen erst wieder 2028, dann automatisch an die Inflation gekoppelt.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