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Rundfunkbeitrag</w:t>
      </w:r>
    </w:p>
    <w:p>
      <w:r>
        <w:rPr>
          <w:i/>
        </w:rPr>
        <w:t>Alles über den Rundfunkbeitrag 2026: Regelungen, Änderungen und Sparoptionen</w:t>
      </w:r>
    </w:p>
    <w:p>
      <w:pPr>
        <w:pStyle w:val="Heading1"/>
      </w:pPr>
      <w:r>
        <w:t>Rundfunkbeitrag 2026: Aktuelle Regelungen und Änderungen</w:t>
      </w:r>
    </w:p>
    <w:p>
      <w:r>
        <w:t>Der Rundfunkbeitrag bleibt eines der kontroversesten Themen in der deutschen Medienpolitik. Jeder Haushalt in Deutschland zahlt monatlich 18,36 Euro zur Finanzierung der öffentlich-rechtlichen Sender. Obwohl die Beitragshöhe 2026 stabil bleibt, verschärfen sich die administrativen Anforderungen für Beitragszahler erheblich. Neue Zahlungsregelungen und unveränderte Befreiungsmöglichkeiten prägen das kommende Jahr. Dieser Ratgeber bietet einen aktuellen Überblick über alle relevanten Informationen für 2026.</w:t>
      </w:r>
    </w:p>
    <w:p>
      <w:pPr>
        <w:pStyle w:val="Heading2"/>
      </w:pPr>
      <w:r>
        <w:t>Beitragshöhe und geplante Entwicklungen</w:t>
      </w:r>
    </w:p>
    <w:p>
      <w:r>
        <w:t>Der Rundfunkbeitrag beträgt 2026 unverändert 18,36 Euro pro Monat. Dies entspricht quartalsweise 55,08 Euro, halbjährlich 110,16 Euro und jährlich 220,32 Euro. Die Ministerpräsidentenkonferenz hat festgelegt, dass der Beitrag bis Ende 2026 nicht steigt, obwohl die Kommission für Ermittlung des Finanzbedarfs der Rundfunkanstalten (KEF) eine Erhöhung um 58 Cent auf 18,94 Euro empfohlen hatte.</w:t>
      </w:r>
    </w:p>
    <w:p>
      <w:r>
        <w:t>ARD und ZDF haben gegen diese Entscheidung Verfassungsbeschwerde eingereicht. Das Bundesverfassungsgericht wird 2026 klären, ob die bisherige Finanzierung des öffentlich-rechtlichen Rundfunks verfassungsgemäß ist. Für die Zeit nach 2026 zeichnet sich eine moderate Steigerung ab: Eine Expertenkommission empfiehlt ab Januar 2027 eine Anhebung auf 18,64 Euro monatlich.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Zahlungsrhythmus</w:t>
            </w:r>
          </w:p>
        </w:tc>
        <w:tc>
          <w:tcPr>
            <w:tcW w:type="dxa" w:w="3120"/>
          </w:tcPr>
          <w:p>
            <w:r>
              <w:rPr>
                <w:b/>
              </w:rPr>
              <w:t>Betrag</w:t>
            </w:r>
          </w:p>
        </w:tc>
        <w:tc>
          <w:tcPr>
            <w:tcW w:type="dxa" w:w="3120"/>
          </w:tcPr>
          <w:p>
            <w:r>
              <w:rPr>
                <w:b/>
              </w:rPr>
              <w:t>Fälligkeitstermine</w:t>
            </w:r>
          </w:p>
        </w:tc>
      </w:tr>
      <w:tr>
        <w:tc>
          <w:tcPr>
            <w:tcW w:type="dxa" w:w="3120"/>
          </w:tcPr>
          <w:p>
            <w:r>
              <w:t>Monatlich</w:t>
            </w:r>
          </w:p>
        </w:tc>
        <w:tc>
          <w:tcPr>
            <w:tcW w:type="dxa" w:w="3120"/>
          </w:tcPr>
          <w:p>
            <w:r>
              <w:t>18,36 €</w:t>
            </w:r>
          </w:p>
        </w:tc>
        <w:tc>
          <w:tcPr>
            <w:tcW w:type="dxa" w:w="3120"/>
          </w:tcPr>
          <w:p>
            <w:r>
              <w:t>Jeweils zum 15.</w:t>
            </w:r>
          </w:p>
        </w:tc>
      </w:tr>
      <w:tr>
        <w:tc>
          <w:tcPr>
            <w:tcW w:type="dxa" w:w="3120"/>
          </w:tcPr>
          <w:p>
            <w:r>
              <w:t>Quartalsweise</w:t>
            </w:r>
          </w:p>
        </w:tc>
        <w:tc>
          <w:tcPr>
            <w:tcW w:type="dxa" w:w="3120"/>
          </w:tcPr>
          <w:p>
            <w:r>
              <w:t>55,08 €</w:t>
            </w:r>
          </w:p>
        </w:tc>
        <w:tc>
          <w:tcPr>
            <w:tcW w:type="dxa" w:w="3120"/>
          </w:tcPr>
          <w:p>
            <w:r>
              <w:t>15. Feb., 15. Mai, 15. Aug., 15. Nov.</w:t>
            </w:r>
          </w:p>
        </w:tc>
      </w:tr>
      <w:tr>
        <w:tc>
          <w:tcPr>
            <w:tcW w:type="dxa" w:w="3120"/>
          </w:tcPr>
          <w:p>
            <w:r>
              <w:t>Halbjährlich</w:t>
            </w:r>
          </w:p>
        </w:tc>
        <w:tc>
          <w:tcPr>
            <w:tcW w:type="dxa" w:w="3120"/>
          </w:tcPr>
          <w:p>
            <w:r>
              <w:t>110,16 €</w:t>
            </w:r>
          </w:p>
        </w:tc>
        <w:tc>
          <w:tcPr>
            <w:tcW w:type="dxa" w:w="3120"/>
          </w:tcPr>
          <w:p>
            <w:r>
              <w:t>15. Februar, 15. August</w:t>
            </w:r>
          </w:p>
        </w:tc>
      </w:tr>
      <w:tr>
        <w:tc>
          <w:tcPr>
            <w:tcW w:type="dxa" w:w="3120"/>
          </w:tcPr>
          <w:p>
            <w:r>
              <w:t>Jährlich</w:t>
            </w:r>
          </w:p>
        </w:tc>
        <w:tc>
          <w:tcPr>
            <w:tcW w:type="dxa" w:w="3120"/>
          </w:tcPr>
          <w:p>
            <w:r>
              <w:t>220,32 €</w:t>
            </w:r>
          </w:p>
        </w:tc>
        <w:tc>
          <w:tcPr>
            <w:tcW w:type="dxa" w:w="3120"/>
          </w:tcPr>
          <w:p>
            <w:r>
              <w:t>15. Februar</w:t>
            </w:r>
          </w:p>
        </w:tc>
      </w:tr>
    </w:tbl>
    <w:p>
      <w:pPr>
        <w:pStyle w:val="Heading2"/>
      </w:pPr>
      <w:r>
        <w:t>Befreiung und Ermäßigung: Wer hat Anspruch?</w:t>
      </w:r>
    </w:p>
    <w:p>
      <w:r>
        <w:t>Eine Befreiung vom Rundfunkbeitrag erfolgt nicht automatisch, sondern ausschließlich auf schriftlichen Antrag mit entsprechenden Nachweisen. Mehrere Personengruppen sind berechtigt.</w:t>
      </w:r>
    </w:p>
    <w:p>
      <w:r>
        <w:rPr>
          <w:b/>
        </w:rPr>
        <w:t>Vollständige Befreiung erhalten:</w:t>
      </w:r>
    </w:p>
    <w:p>
      <w:pPr>
        <w:pStyle w:val="ListBullet"/>
      </w:pPr>
      <w:r>
        <w:t>Empfänger von Sozialhilfe, Grundsicherung im Alter oder bei Erwerbsminderung</w:t>
      </w:r>
    </w:p>
    <w:p>
      <w:pPr>
        <w:pStyle w:val="ListBullet"/>
      </w:pPr>
      <w:r>
        <w:t>Personen mit Leistungen nach dem Asylbewerberleistungsgesetz</w:t>
      </w:r>
    </w:p>
    <w:p>
      <w:pPr>
        <w:pStyle w:val="ListBullet"/>
      </w:pPr>
      <w:r>
        <w:t>BAföG-Empfänger, die nicht bei ihren Eltern wohnen</w:t>
      </w:r>
    </w:p>
    <w:p>
      <w:pPr>
        <w:pStyle w:val="ListBullet"/>
      </w:pPr>
      <w:r>
        <w:t>Taubblinde Personen und Sonderfürsorgeberechtigte</w:t>
      </w:r>
    </w:p>
    <w:p>
      <w:pPr>
        <w:pStyle w:val="ListBullet"/>
      </w:pPr>
      <w:r>
        <w:t>Empfänger der neuen Grundsicherung für Erwerbsfähige (ab 1. Juli 2026)</w:t>
      </w:r>
    </w:p>
    <w:p>
      <w:r>
        <w:rPr>
          <w:b/>
        </w:rPr>
        <w:t>Ermäßigter Beitrag von 6,12 Euro monatlich:</w:t>
      </w:r>
    </w:p>
    <w:p>
      <w:r>
        <w:t>Menschen mit Schwerbehindertenausweis und dem Merkzeichen RF zahlen nur 6,12 Euro statt 18,36 Euro monatlich.</w:t>
      </w:r>
    </w:p>
    <w:p>
      <w:r>
        <w:t>Die Befreiungsregeln bleiben durch die Reform der Grundsicherung ab Juli 2026 unverändert gültig. Betroffene sollten keinen Versand von Zahlungsaufforderungen erwarten und müssen selbstständig einen Folgeantrag stellen, wenn die Anspruchsvoraussetzungen fortbestand haben.</w:t>
      </w:r>
    </w:p>
    <w:p>
      <w:pPr>
        <w:pStyle w:val="Heading2"/>
      </w:pPr>
      <w:r>
        <w:t>Antragstellung: Fristen und Verfahren</w:t>
      </w:r>
    </w:p>
    <w:p>
      <w:r>
        <w:t>Anträge auf Befreiung können bis zu drei Jahre rückwirkend eingereicht werden, vorausgesetzt der Anspruchsberechtigte war in dem entsprechenden Zeitraum tatsächlich leistungsberechtigt. Die Antragstellung funktioniert in vier Schritten:</w:t>
      </w:r>
    </w:p>
    <w:p>
      <w:r>
        <w:t xml:space="preserve">1. </w:t>
      </w:r>
      <w:r>
        <w:rPr>
          <w:b/>
        </w:rPr>
        <w:t>Formular besorgen:</w:t>
      </w:r>
      <w:r>
        <w:t xml:space="preserve"> Online unter rundfunkbeitrag.de herunterladen</w:t>
      </w:r>
    </w:p>
    <w:p>
      <w:r>
        <w:t xml:space="preserve">2. </w:t>
      </w:r>
      <w:r>
        <w:rPr>
          <w:b/>
        </w:rPr>
        <w:t>Nachweise sammeln:</w:t>
      </w:r>
      <w:r>
        <w:t xml:space="preserve"> Aktueller Bewilligungsbescheid der entsprechenden Sozialleistung</w:t>
      </w:r>
    </w:p>
    <w:p>
      <w:r>
        <w:t xml:space="preserve">3. </w:t>
      </w:r>
      <w:r>
        <w:rPr>
          <w:b/>
        </w:rPr>
        <w:t>Antrag einreichen:</w:t>
      </w:r>
      <w:r>
        <w:t xml:space="preserve"> Per Post oder über Online-Upload beim ARD ZDF Deutschlandradio Beitragsservice</w:t>
      </w:r>
    </w:p>
    <w:p>
      <w:r>
        <w:t xml:space="preserve">4. </w:t>
      </w:r>
      <w:r>
        <w:rPr>
          <w:b/>
        </w:rPr>
        <w:t>Bestätigung erhalten:</w:t>
      </w:r>
      <w:r>
        <w:t xml:space="preserve"> Die Befreiung gilt regelmäßig ab dem Monat der ersten Anspruchsberechtigung</w:t>
      </w:r>
    </w:p>
    <w:p>
      <w:r>
        <w:t>Die rückwirkende Befreiung bis zu drei Jahren ist unter bestimmten Bedingungen möglich. Allerdings trägt jeder selbst die Verantwortung, bei weiterbestehendem Anspruch einen Folgeantrag zu stellen. Ansonsten greifen nach Ablauf des Befreiungszeitraums wieder die regulären Beitragspflichten.</w:t>
      </w:r>
    </w:p>
    <w:p>
      <w:pPr>
        <w:pStyle w:val="Heading2"/>
      </w:pPr>
      <w:r>
        <w:t>Neue Zahlungsmodalitäten ab 2026</w:t>
      </w:r>
    </w:p>
    <w:p>
      <w:r>
        <w:t>Eine bedeutende Änderung betrifft die Zahlungsaufforderungen. Der Beitragsservice stellt den Versand regelmäßiger Zahlungsbriefe für Überweisungszahler schrittweise ein. Dies erfordert mehr Eigenverantwortung.</w:t>
      </w:r>
    </w:p>
    <w:p>
      <w:r>
        <w:t>An deren Stelle tritt eine einmalige Zahlungsaufforderung, die fortlaufend gültig bleibt. Sie enthält alle relevanten Fälligkeitstermine, die sich jährlich wiederholen – solange Beitragshöhe und Bedingungen unverändert bleiben. Bei Änderungen erhalten Zahler automatisch eine neue Aufforderung.</w:t>
      </w:r>
    </w:p>
    <w:p>
      <w:r>
        <w:rPr>
          <w:b/>
        </w:rPr>
        <w:t>Praktische Tipps für 2026:</w:t>
      </w:r>
    </w:p>
    <w:p>
      <w:pPr>
        <w:pStyle w:val="ListBullet"/>
      </w:pPr>
      <w:r>
        <w:t>SEPA-Lastschriftmandat einrichten lassen – dies ist die zuverlässigste Lösung</w:t>
      </w:r>
    </w:p>
    <w:p>
      <w:pPr>
        <w:pStyle w:val="ListBullet"/>
      </w:pPr>
      <w:r>
        <w:t>Bei Überweisungen einen Dauerauftrag mit korrekten Beträgen anlegen</w:t>
      </w:r>
    </w:p>
    <w:p>
      <w:pPr>
        <w:pStyle w:val="ListBullet"/>
      </w:pPr>
      <w:r>
        <w:t>Säumniszuschläge vermeiden: Verspätete Zahlungen führen zu Mahngebühren von mindestens acht Euro</w:t>
      </w:r>
    </w:p>
    <w:p>
      <w:pPr>
        <w:pStyle w:val="Heading2"/>
      </w:pPr>
      <w:r>
        <w:t>Regelungen für Unternehmen</w:t>
      </w:r>
    </w:p>
    <w:p>
      <w:r>
        <w:t>Für Unternehmen zählen nicht Geräte, sondern Betriebsstätten und Mitarbeiter. Jede Niederlassung ist grundsätzlich beitragspflichtig. Die Höhe richtet sich nach der durchschnittlichen Anzahl sozialversicherungspflichtig Beschäftigter im Vorjahr:</w:t>
      </w:r>
    </w:p>
    <w:tbl>
      <w:tblPr>
        <w:tblStyle w:val="TableGrid"/>
        <w:tblW w:type="auto" w:w="0"/>
        <w:tblLook w:firstColumn="1" w:firstRow="1" w:lastColumn="0" w:lastRow="0" w:noHBand="0" w:noVBand="1" w:val="04A0"/>
      </w:tblPr>
      <w:tblGrid>
        <w:gridCol w:w="4680"/>
        <w:gridCol w:w="4680"/>
      </w:tblGrid>
      <w:tr>
        <w:tc>
          <w:tcPr>
            <w:tcW w:type="dxa" w:w="4680"/>
          </w:tcPr>
          <w:p>
            <w:r>
              <w:rPr>
                <w:b/>
              </w:rPr>
              <w:t>Beschäftigte</w:t>
            </w:r>
          </w:p>
        </w:tc>
        <w:tc>
          <w:tcPr>
            <w:tcW w:type="dxa" w:w="4680"/>
          </w:tcPr>
          <w:p>
            <w:r>
              <w:rPr>
                <w:b/>
              </w:rPr>
              <w:t>Monatlicher Beitrag</w:t>
            </w:r>
          </w:p>
        </w:tc>
      </w:tr>
      <w:tr>
        <w:tc>
          <w:tcPr>
            <w:tcW w:type="dxa" w:w="4680"/>
          </w:tcPr>
          <w:p>
            <w:r>
              <w:t>0–8</w:t>
            </w:r>
          </w:p>
        </w:tc>
        <w:tc>
          <w:tcPr>
            <w:tcW w:type="dxa" w:w="4680"/>
          </w:tcPr>
          <w:p>
            <w:r>
              <w:t>6,12 €</w:t>
            </w:r>
          </w:p>
        </w:tc>
      </w:tr>
      <w:tr>
        <w:tc>
          <w:tcPr>
            <w:tcW w:type="dxa" w:w="4680"/>
          </w:tcPr>
          <w:p>
            <w:r>
              <w:t>9–19</w:t>
            </w:r>
          </w:p>
        </w:tc>
        <w:tc>
          <w:tcPr>
            <w:tcW w:type="dxa" w:w="4680"/>
          </w:tcPr>
          <w:p>
            <w:r>
              <w:t>18,36 €</w:t>
            </w:r>
          </w:p>
        </w:tc>
      </w:tr>
      <w:tr>
        <w:tc>
          <w:tcPr>
            <w:tcW w:type="dxa" w:w="4680"/>
          </w:tcPr>
          <w:p>
            <w:r>
              <w:t>20–49</w:t>
            </w:r>
          </w:p>
        </w:tc>
        <w:tc>
          <w:tcPr>
            <w:tcW w:type="dxa" w:w="4680"/>
          </w:tcPr>
          <w:p>
            <w:r>
              <w:t>36,72 €</w:t>
            </w:r>
          </w:p>
        </w:tc>
      </w:tr>
    </w:tbl>
    <w:p>
      <w:r>
        <w:t>Unternehmen können zwischen zwei Zählweisen wählen: nach tatsächlicher Pro-Kopf-Zahl (Zählweise A) oder nach Vollzeitstellen (Zählweise B). Ein Wechsel ist nur zwischen Januar und März möglich.</w:t>
      </w:r>
    </w:p>
    <w:p>
      <w:r>
        <w:t>Ab 1. Januar 2026 enden Corona-Sonderregelungen und es gelten wieder vollständig die regulären Verwaltungsregeln. Änderungen der Mitarbeiterzahl müssen Betriebe bis 31. März anzeigen. Für betriebliche Kraftfahrzeuge fällt ein Drittelbeitrag von 6,12 Euro pro Fahrzeug an – das erste Kfz je Betriebsstätte ist beitragsfrei.</w:t>
      </w:r>
    </w:p>
    <w:p>
      <w:pPr>
        <w:pStyle w:val="Heading2"/>
      </w:pPr>
      <w:r>
        <w:t>Fazit</w:t>
      </w:r>
    </w:p>
    <w:p>
      <w:r>
        <w:t>Der Rundfunkbeitrag verbleibt 2026 bei 18,36 Euro monatlich. Doch die Abschaffung regelmäßiger Zahlungsaufforderungen verlangt den Zahler mehr Aufmerksamkeit ab. Befreiungen bleiben für Menschen mit geringen Einkommen und gesundheitlichen Beeinträchtigungen möglich – müssen aber aktiv beantragt werden. Die kommende Entscheidung des Bundesverfassungsgerichts wird die Finanzierungsdebatte prägen. Unternehmen sollten besonders die Meldepflichten bis Ende März und das Wegfallen von Corona-Ausnahmeregelungen beachten.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