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E2E7E0" w14:textId="77777777" w:rsidR="00005502" w:rsidRPr="00005502" w:rsidRDefault="00005502" w:rsidP="00005502">
      <w:r w:rsidRPr="00005502">
        <w:t># Geldanlage auf Tagesgeld</w:t>
      </w:r>
    </w:p>
    <w:p w14:paraId="4EE65610" w14:textId="77777777" w:rsidR="00005502" w:rsidRPr="00005502" w:rsidRDefault="00005502" w:rsidP="00005502">
      <w:r w:rsidRPr="00005502">
        <w:t>Tagesgeld erlebt 2026 eine kleine Renaissance. Wer nach den besten Zinsen für Tagesgeld sucht, findet derzeit zahlreiche Angebote mit attraktiven Konditionen. Bis zu 3,4 Prozent pro Jahr sind möglich. Diese Entwicklung macht die flexible Geldanlage wieder zu einer interessanten Alternative für sicherheitsbewusste Sparer.</w:t>
      </w:r>
    </w:p>
    <w:p w14:paraId="75808DE8" w14:textId="77777777" w:rsidR="00005502" w:rsidRPr="00005502" w:rsidRDefault="00005502" w:rsidP="00005502">
      <w:pPr>
        <w:rPr>
          <w:b/>
          <w:bCs/>
        </w:rPr>
      </w:pPr>
      <w:r w:rsidRPr="00005502">
        <w:rPr>
          <w:b/>
          <w:bCs/>
        </w:rPr>
        <w:t>Tagesgeld als sichere Geldanlage verstehen</w:t>
      </w:r>
    </w:p>
    <w:p w14:paraId="5FD10546" w14:textId="77777777" w:rsidR="00005502" w:rsidRPr="00005502" w:rsidRDefault="00005502" w:rsidP="00005502">
      <w:r w:rsidRPr="00005502">
        <w:t>Tagesgeld ist eine sichere Anlagemöglichkeit. Bei einem Tagesgeldkonto handelt es sich um ein verzinstes Sparkonto, bei dem Sie jederzeit über Ihr Geld verfügen können. Anders als beim Sparbuch oder beim Festgeld gibt es keine Kündigungsfristen oder Mindestlaufzeiten. Das Tagesgeldkonto bietet Flexibilität für beide Seiten: Anleger können jederzeit beliebige Summen ein- oder auszahlen. Die Bank kann die Zinsen jederzeit anpassen.</w:t>
      </w:r>
    </w:p>
    <w:p w14:paraId="70C44257" w14:textId="77777777" w:rsidR="00005502" w:rsidRPr="00005502" w:rsidRDefault="00005502" w:rsidP="00005502">
      <w:r w:rsidRPr="00005502">
        <w:t>In den meisten Fällen ist das Tagesgeldkonto kostenlos. Die meisten Anbieter verzichten auf Kontoführungsgebühren, was die Rendite nicht mindert. Tagesgeldzinsen sind variabel – die Zinshöhe kann sich täglich ändern. Diese Flexibilität bringt sowohl Chancen als auch Risiken mit sich: Bei steigenden Leitzinsen profitieren Sie schneller, bei fallenden Zinsen können die Erträge entsprechend sinken.</w:t>
      </w:r>
    </w:p>
    <w:p w14:paraId="343203BC" w14:textId="77777777" w:rsidR="00005502" w:rsidRPr="00005502" w:rsidRDefault="00005502" w:rsidP="00005502">
      <w:r w:rsidRPr="00005502">
        <w:t>Die Zinsgutschrift erfolgt je nach Bank unterschiedlich häufig. Beachten Sie bei Ihrer Kontowahl, ob die Zinsen monatlich, vierteljährlich oder nur einmal jährlich gutgeschrieben werden und ob die Zinsen auf dem Tagesgeldkonto bleiben oder auf ein Referenzkonto überwiesen werden. Eine häufigere Gutschrift ermöglicht schnelleren Zugriff auf Ihre Zinserträge. Zusätzlich führen Zinsgutschriften auf das Anlagekonto durch den Zinseszinseffekt zu höheren Erträgen.</w:t>
      </w:r>
    </w:p>
    <w:p w14:paraId="7DC60E26" w14:textId="77777777" w:rsidR="00005502" w:rsidRPr="00005502" w:rsidRDefault="00005502" w:rsidP="00005502">
      <w:pPr>
        <w:rPr>
          <w:b/>
          <w:bCs/>
        </w:rPr>
      </w:pPr>
      <w:r w:rsidRPr="00005502">
        <w:rPr>
          <w:b/>
          <w:bCs/>
        </w:rPr>
        <w:t>Aktuelle Zinsentwicklung und Prognosen</w:t>
      </w:r>
    </w:p>
    <w:p w14:paraId="3219B341" w14:textId="77777777" w:rsidR="00005502" w:rsidRPr="00005502" w:rsidRDefault="00005502" w:rsidP="00005502">
      <w:r w:rsidRPr="00005502">
        <w:t>Aktuell (04/2026) erhalten Sie bis zu 3,40 Prozent Zinsen auf Ihr Tagesgeldkonto. Die Zinsspanne bewegt sich typischerweise zwischen 2,0 und 3,4 Prozent, wobei Neukunden häufig bessere Konditionen erhalten als Bestandskunden. Im März 2026 liegt der Durchschnittszins für Tagesgeldkonten bei Angeboten mit zeitlich befristeten Aktionszinsen bei 2,68 Prozent. Der reguläre Zinssatz nach Ablauf der Zinsbindung beträgt dagegen aktuell etwa 1,23 Prozent.</w:t>
      </w:r>
    </w:p>
    <w:p w14:paraId="1EFE8A60" w14:textId="77777777" w:rsidR="00005502" w:rsidRPr="00005502" w:rsidRDefault="00005502" w:rsidP="00005502">
      <w:r w:rsidRPr="00005502">
        <w:t>Die durchschnittlichen Zinsen aller verglichenen Banken sind gegenüber dem Vormonat um fünf Basispunkte von 1,78 auf 1,83 Prozent pro Jahr gestiegen. Diese Entwicklung zeigt, dass der Markt weiterhin in Bewegung bleibt, auch wenn die hohen Zinsspitzen der Vergangenheit angehören.</w:t>
      </w:r>
    </w:p>
    <w:p w14:paraId="260F3C79" w14:textId="77777777" w:rsidR="00005502" w:rsidRPr="00005502" w:rsidRDefault="00005502" w:rsidP="00005502">
      <w:r w:rsidRPr="00005502">
        <w:t>Experten rechnen für die zweite Jahreshälfte 2026 mit einer leichten Korrektur. Die EZB hat Leitzinssenkungen prognostiziert, was sich auf die Tagesgeldzinsen auswirkt. Der Durchschnitt könnte dann bei 0,5 bis 1,75 Prozent liegen. In den nächsten Jahren werden sich Tagesgeldzinssätze voraussichtlich auf 1,0 bis 1,75 Prozent normalisieren, während Top-Angebote zeitlich begrenzt auch 2,5 bis 2,75 Prozent bieten können.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4"/>
        <w:gridCol w:w="1466"/>
        <w:gridCol w:w="1680"/>
      </w:tblGrid>
      <w:tr w:rsidR="00005502" w:rsidRPr="00005502" w14:paraId="673BCB8B" w14:textId="77777777">
        <w:trPr>
          <w:tblHeader/>
          <w:tblCellSpacing w:w="15" w:type="dxa"/>
        </w:trPr>
        <w:tc>
          <w:tcPr>
            <w:tcW w:w="0" w:type="auto"/>
            <w:vAlign w:val="center"/>
            <w:hideMark/>
          </w:tcPr>
          <w:p w14:paraId="318FBF41" w14:textId="77777777" w:rsidR="00005502" w:rsidRPr="00005502" w:rsidRDefault="00005502" w:rsidP="00005502">
            <w:pPr>
              <w:rPr>
                <w:b/>
                <w:bCs/>
              </w:rPr>
            </w:pPr>
            <w:r w:rsidRPr="00005502">
              <w:rPr>
                <w:b/>
                <w:bCs/>
              </w:rPr>
              <w:t>Zeitraum</w:t>
            </w:r>
          </w:p>
        </w:tc>
        <w:tc>
          <w:tcPr>
            <w:tcW w:w="0" w:type="auto"/>
            <w:vAlign w:val="center"/>
            <w:hideMark/>
          </w:tcPr>
          <w:p w14:paraId="72A8FD86" w14:textId="77777777" w:rsidR="00005502" w:rsidRPr="00005502" w:rsidRDefault="00005502" w:rsidP="00005502">
            <w:pPr>
              <w:rPr>
                <w:b/>
                <w:bCs/>
              </w:rPr>
            </w:pPr>
            <w:r w:rsidRPr="00005502">
              <w:rPr>
                <w:b/>
                <w:bCs/>
              </w:rPr>
              <w:t>Aktionszinsen</w:t>
            </w:r>
          </w:p>
        </w:tc>
        <w:tc>
          <w:tcPr>
            <w:tcW w:w="0" w:type="auto"/>
            <w:vAlign w:val="center"/>
            <w:hideMark/>
          </w:tcPr>
          <w:p w14:paraId="5812E082" w14:textId="77777777" w:rsidR="00005502" w:rsidRPr="00005502" w:rsidRDefault="00005502" w:rsidP="00005502">
            <w:pPr>
              <w:rPr>
                <w:b/>
                <w:bCs/>
              </w:rPr>
            </w:pPr>
            <w:r w:rsidRPr="00005502">
              <w:rPr>
                <w:b/>
                <w:bCs/>
              </w:rPr>
              <w:t>Reguläre Zinsen</w:t>
            </w:r>
          </w:p>
        </w:tc>
      </w:tr>
      <w:tr w:rsidR="00005502" w:rsidRPr="00005502" w14:paraId="750C3B25" w14:textId="77777777">
        <w:trPr>
          <w:tblCellSpacing w:w="15" w:type="dxa"/>
        </w:trPr>
        <w:tc>
          <w:tcPr>
            <w:tcW w:w="0" w:type="auto"/>
            <w:vAlign w:val="center"/>
            <w:hideMark/>
          </w:tcPr>
          <w:p w14:paraId="7BFC780C" w14:textId="77777777" w:rsidR="00005502" w:rsidRPr="00005502" w:rsidRDefault="00005502" w:rsidP="00005502">
            <w:r w:rsidRPr="00005502">
              <w:t>Aktuell (04/2026)</w:t>
            </w:r>
          </w:p>
        </w:tc>
        <w:tc>
          <w:tcPr>
            <w:tcW w:w="0" w:type="auto"/>
            <w:vAlign w:val="center"/>
            <w:hideMark/>
          </w:tcPr>
          <w:p w14:paraId="1F965B6C" w14:textId="77777777" w:rsidR="00005502" w:rsidRPr="00005502" w:rsidRDefault="00005502" w:rsidP="00005502">
            <w:r w:rsidRPr="00005502">
              <w:t>2,5 – 3,4 %</w:t>
            </w:r>
          </w:p>
        </w:tc>
        <w:tc>
          <w:tcPr>
            <w:tcW w:w="0" w:type="auto"/>
            <w:vAlign w:val="center"/>
            <w:hideMark/>
          </w:tcPr>
          <w:p w14:paraId="663E09D6" w14:textId="77777777" w:rsidR="00005502" w:rsidRPr="00005502" w:rsidRDefault="00005502" w:rsidP="00005502">
            <w:r w:rsidRPr="00005502">
              <w:t>1,2 – 2,3 %</w:t>
            </w:r>
          </w:p>
        </w:tc>
      </w:tr>
      <w:tr w:rsidR="00005502" w:rsidRPr="00005502" w14:paraId="00D3D423" w14:textId="77777777">
        <w:trPr>
          <w:tblCellSpacing w:w="15" w:type="dxa"/>
        </w:trPr>
        <w:tc>
          <w:tcPr>
            <w:tcW w:w="0" w:type="auto"/>
            <w:vAlign w:val="center"/>
            <w:hideMark/>
          </w:tcPr>
          <w:p w14:paraId="7145E390" w14:textId="77777777" w:rsidR="00005502" w:rsidRPr="00005502" w:rsidRDefault="00005502" w:rsidP="00005502">
            <w:r w:rsidRPr="00005502">
              <w:t>Prognose H2 2026</w:t>
            </w:r>
          </w:p>
        </w:tc>
        <w:tc>
          <w:tcPr>
            <w:tcW w:w="0" w:type="auto"/>
            <w:vAlign w:val="center"/>
            <w:hideMark/>
          </w:tcPr>
          <w:p w14:paraId="21380586" w14:textId="77777777" w:rsidR="00005502" w:rsidRPr="00005502" w:rsidRDefault="00005502" w:rsidP="00005502">
            <w:r w:rsidRPr="00005502">
              <w:t>2,0 – 2,8 %</w:t>
            </w:r>
          </w:p>
        </w:tc>
        <w:tc>
          <w:tcPr>
            <w:tcW w:w="0" w:type="auto"/>
            <w:vAlign w:val="center"/>
            <w:hideMark/>
          </w:tcPr>
          <w:p w14:paraId="7D38A30B" w14:textId="77777777" w:rsidR="00005502" w:rsidRPr="00005502" w:rsidRDefault="00005502" w:rsidP="00005502">
            <w:r w:rsidRPr="00005502">
              <w:t>0,5 – 1,8 %</w:t>
            </w:r>
          </w:p>
        </w:tc>
      </w:tr>
      <w:tr w:rsidR="00005502" w:rsidRPr="00005502" w14:paraId="79760B4D" w14:textId="77777777">
        <w:trPr>
          <w:tblCellSpacing w:w="15" w:type="dxa"/>
        </w:trPr>
        <w:tc>
          <w:tcPr>
            <w:tcW w:w="0" w:type="auto"/>
            <w:vAlign w:val="center"/>
            <w:hideMark/>
          </w:tcPr>
          <w:p w14:paraId="597DEEFF" w14:textId="77777777" w:rsidR="00005502" w:rsidRPr="00005502" w:rsidRDefault="00005502" w:rsidP="00005502">
            <w:r w:rsidRPr="00005502">
              <w:t>Mittelfristig</w:t>
            </w:r>
          </w:p>
        </w:tc>
        <w:tc>
          <w:tcPr>
            <w:tcW w:w="0" w:type="auto"/>
            <w:vAlign w:val="center"/>
            <w:hideMark/>
          </w:tcPr>
          <w:p w14:paraId="4F4693E3" w14:textId="77777777" w:rsidR="00005502" w:rsidRPr="00005502" w:rsidRDefault="00005502" w:rsidP="00005502">
            <w:r w:rsidRPr="00005502">
              <w:t>2,2 – 2,7 %</w:t>
            </w:r>
          </w:p>
        </w:tc>
        <w:tc>
          <w:tcPr>
            <w:tcW w:w="0" w:type="auto"/>
            <w:vAlign w:val="center"/>
            <w:hideMark/>
          </w:tcPr>
          <w:p w14:paraId="61A45C4E" w14:textId="77777777" w:rsidR="00005502" w:rsidRPr="00005502" w:rsidRDefault="00005502" w:rsidP="00005502">
            <w:r w:rsidRPr="00005502">
              <w:t>1,0 – 1,7 %</w:t>
            </w:r>
          </w:p>
        </w:tc>
      </w:tr>
    </w:tbl>
    <w:p w14:paraId="409C898D" w14:textId="77777777" w:rsidR="00005502" w:rsidRPr="00005502" w:rsidRDefault="00005502" w:rsidP="00005502">
      <w:pPr>
        <w:rPr>
          <w:b/>
          <w:bCs/>
        </w:rPr>
      </w:pPr>
      <w:r w:rsidRPr="00005502">
        <w:rPr>
          <w:b/>
          <w:bCs/>
        </w:rPr>
        <w:lastRenderedPageBreak/>
        <w:t>Sicherheit durch Einlagensicherung</w:t>
      </w:r>
    </w:p>
    <w:p w14:paraId="5055B45F" w14:textId="77777777" w:rsidR="00005502" w:rsidRPr="00005502" w:rsidRDefault="00005502" w:rsidP="00005502">
      <w:r w:rsidRPr="00005502">
        <w:t>Ihre Ersparnisse beim Tagesgeld sind durch die gesetzliche Einlagensicherung bis 100.000 Euro je Bank und Kunde geschützt. Diese Absicherung gilt EU-weit und stellt die Grundlage für die Sicherheit Ihrer Anlage dar. Im Fall einer Bankpleite sind in der Europäischen Union 100.000 Euro pro Person und Bank geschützt. Der Schutz erstreckt sich auf Tagesgeld-, Festgeld- und Girokonten, das Sparbuch und das Verrechnungskonto eines Depots.</w:t>
      </w:r>
    </w:p>
    <w:p w14:paraId="02F58BAA" w14:textId="77777777" w:rsidR="00005502" w:rsidRPr="00005502" w:rsidRDefault="00005502" w:rsidP="00005502">
      <w:r w:rsidRPr="00005502">
        <w:t>Banken aus Deutschland und einige ausländische Banken mit Niederlassung in Deutschland bieten über die gesetzliche Grenze hinaus Schutz: Dank der freiwilligen deutschen Einlagensicherung sind auch Tagesgelder mit Spareinlagen im Millionenbereich geschützt. Deutsche Privatbanken sind häufig zusätzlich im Einlagensicherungsfonds des Bundesverbandes deutscher Banken organisiert, der deutlich höhere Beträge absichert.</w:t>
      </w:r>
    </w:p>
    <w:p w14:paraId="20FBA27F" w14:textId="77777777" w:rsidR="00005502" w:rsidRPr="00005502" w:rsidRDefault="00005502" w:rsidP="00005502">
      <w:r w:rsidRPr="00005502">
        <w:t>Bei ausländischen Banken sollten Sie die jeweiligen Sicherungssysteme prüfen. Es empfiehlt sich, Tagesgeld nur bei Banken in Ländern mit sehr hoher Kreditwürdigkeit anzulegen. Das sind derzeit neben Deutschland die Niederlande, Luxemburg, Österreich, Dänemark, Schweden, Norwegen und Finnland.</w:t>
      </w:r>
    </w:p>
    <w:p w14:paraId="70959C48" w14:textId="77777777" w:rsidR="00005502" w:rsidRPr="00005502" w:rsidRDefault="00005502" w:rsidP="00005502">
      <w:r w:rsidRPr="00005502">
        <w:t>Die Einlagensicherung umfasst verschiedene Kontotypen. Der Schutz durch die Entschädigungseinrichtung deutscher Banken GmbH (EdB) umfasst Sicht-, Termin- und Spareinlagen. Das bedeutet, dass Gelder auf Giro-, Spar-, Tagesgeld- und Festgeldkonten abgesichert sind. Auch Sparbriefe und Namensschuldverschreibungen, die auf einen spezifischen Namen ausgestellt sind, fallen unter die Einlagensicherung.</w:t>
      </w:r>
    </w:p>
    <w:p w14:paraId="36996533" w14:textId="77777777" w:rsidR="00005502" w:rsidRPr="00005502" w:rsidRDefault="00005502" w:rsidP="00005502">
      <w:pPr>
        <w:rPr>
          <w:b/>
          <w:bCs/>
        </w:rPr>
      </w:pPr>
      <w:r w:rsidRPr="00005502">
        <w:rPr>
          <w:b/>
          <w:bCs/>
        </w:rPr>
        <w:t>Steuerliche Aspekte beachten</w:t>
      </w:r>
    </w:p>
    <w:p w14:paraId="35CC36DC" w14:textId="77777777" w:rsidR="00005502" w:rsidRPr="00005502" w:rsidRDefault="00005502" w:rsidP="00005502">
      <w:r w:rsidRPr="00005502">
        <w:t>Die Zinserträge aus Ihrem Tagesgeld unterliegen der Abgeltungssteuer. Wenn die Kapitalerträge den Freibetrag übersteigen, fallen Abgeltungssteuer (25 Prozent) zuzüglich Solidaritätszuschlag (5,5 Prozent) sowie gegebenenfalls Kirchensteuer an. Der Freibetrag liegt bei jährlich 1.000 Euro pro Person beziehungsweise 2.000 Euro für Ehepaare (Stand 2026).</w:t>
      </w:r>
    </w:p>
    <w:p w14:paraId="76616DE2" w14:textId="77777777" w:rsidR="00005502" w:rsidRPr="00005502" w:rsidRDefault="00005502" w:rsidP="00005502">
      <w:r w:rsidRPr="00005502">
        <w:t>Die Bank führt die Abgeltungssteuer auf die Zinserträge automatisch an das Finanzamt ab. Das vereinfacht Ihre Steuererklärung erheblich. Allerdings müssen Sie diese Steuer nicht bezahlen, wenn Ihre Einkünfte aus Zinsen den Freibetrag nicht überschreiten und Sie bei der jeweiligen Bank einen Freistellungsauftrag eingereicht haben.</w:t>
      </w:r>
    </w:p>
    <w:p w14:paraId="12C180BF" w14:textId="77777777" w:rsidR="00005502" w:rsidRPr="00005502" w:rsidRDefault="00005502" w:rsidP="00005502">
      <w:r w:rsidRPr="00005502">
        <w:t>Bei ausländischen Banken können zusätzliche Steuern anfallen. Manche Angebote von Banken im EU-Ausland unterliegen einer ausländischen Quellensteuer. Der Zinsertrag ist dann direkt im Anlageland zu versteuern. Meist lässt sich durch Vorlage einer Ansässigkeitsbescheinigung der Steuersatz reduzieren oder Sie können die Steuer mit der in Deutschland fälligen Kapitalertragssteuer verrechnen.</w:t>
      </w:r>
    </w:p>
    <w:p w14:paraId="2474ECCA" w14:textId="77777777" w:rsidR="00005502" w:rsidRPr="00005502" w:rsidRDefault="00005502" w:rsidP="00005502">
      <w:pPr>
        <w:rPr>
          <w:b/>
          <w:bCs/>
        </w:rPr>
      </w:pPr>
      <w:r w:rsidRPr="00005502">
        <w:rPr>
          <w:b/>
          <w:bCs/>
        </w:rPr>
        <w:t>Auswahl des richtigen Tagesgeldkontos</w:t>
      </w:r>
    </w:p>
    <w:p w14:paraId="34ACCD36" w14:textId="77777777" w:rsidR="00005502" w:rsidRPr="00005502" w:rsidRDefault="00005502" w:rsidP="00005502">
      <w:r w:rsidRPr="00005502">
        <w:t>Bei der Auswahl eines Tagesgeldkontos sollten Sie mehrere Faktoren berücksichtigen. Vergleichen Sie die Zinssätze verschiedener Angebote nicht nur oberflächlich, sondern prüfen Sie auch, ob es sich um einen zeitlich begrenzten Neukunden-Zins handelt oder um einen dauerhaften Zinssatz. Viele Banken locken mit hohen Zinsen für die ersten Monate, die dann deutlich sinken.</w:t>
      </w:r>
    </w:p>
    <w:p w14:paraId="64496390" w14:textId="77777777" w:rsidR="00005502" w:rsidRPr="00005502" w:rsidRDefault="00005502" w:rsidP="00005502">
      <w:r w:rsidRPr="00005502">
        <w:t xml:space="preserve">Einige Banken garantieren Ihnen jedoch für einen bestimmten Zeitraum einen festen Zins aufs Tagesgeld. Diese Zinsgarantien können zwischen drei und zwölf Monaten liegen. Immer mehr </w:t>
      </w:r>
      <w:r w:rsidRPr="00005502">
        <w:lastRenderedPageBreak/>
        <w:t>Anbieter bieten sechs oder sogar zwölf Monate feste Konditionen an, was die Planungssicherheit erhöht.</w:t>
      </w:r>
    </w:p>
    <w:p w14:paraId="6E7D6812" w14:textId="77777777" w:rsidR="00005502" w:rsidRPr="00005502" w:rsidRDefault="00005502" w:rsidP="00005502">
      <w:r w:rsidRPr="00005502">
        <w:t>Prüfen Sie auch die Mindest- und Höchstanlagebeträge. Während viele Banken keine Mindesteinlage fordern, gibt es bei manchen Anbietern gestaffelte Zinssätze oder Obergrenzen für die Verzinsung. Die Flexibilität bei Ein- und Auszahlungen sollte Ihren Bedürfnissen entsprechen.</w:t>
      </w:r>
    </w:p>
    <w:p w14:paraId="5C0E75CB" w14:textId="77777777" w:rsidR="00005502" w:rsidRPr="00005502" w:rsidRDefault="00005502" w:rsidP="00005502">
      <w:r w:rsidRPr="00005502">
        <w:t>Achten Sie nicht nur auf höchstmögliche Zinsen, sondern auch auf die Sicherheit Ihrer Tagesgelder. Durch die EU-weite Einlagensicherung und die Bonität der Anlageländer können Sie Ihr Geld sicher verwahrt wissen. Ein Blick auf die Ratings der Länder und die Stabilität der jeweiligen Banken lohnt sich bei der Auswahl.</w:t>
      </w:r>
    </w:p>
    <w:p w14:paraId="31C9E54F" w14:textId="77777777" w:rsidR="00005502" w:rsidRPr="00005502" w:rsidRDefault="00005502" w:rsidP="00005502">
      <w:pPr>
        <w:rPr>
          <w:b/>
          <w:bCs/>
        </w:rPr>
      </w:pPr>
      <w:r w:rsidRPr="00005502">
        <w:rPr>
          <w:b/>
          <w:bCs/>
        </w:rPr>
        <w:t>Fazit</w:t>
      </w:r>
    </w:p>
    <w:p w14:paraId="296EC524" w14:textId="77777777" w:rsidR="00005502" w:rsidRPr="00005502" w:rsidRDefault="00005502" w:rsidP="00005502">
      <w:r w:rsidRPr="00005502">
        <w:t>Tagesgeld bleibt eine solide Grundlage für den sicherheitsorientierten Teil Ihres Portfolios. Die aktuellen Zinsen von bis zu 3,4 Prozent machen diese Anlageform wieder attraktiv, auch wenn mittelfristig mit einer Normalisierung zu rechnen ist. Die Kombination aus jederzeitiger Verfügbarkeit, hoher Sicherheit durch die Einlagensicherung und der aktuell noch attraktiven Verzinsung macht Tagesgeld zu einem wichtigen Baustein einer durchdachten Geldanlage-Strategie. Wer die verschiedenen Angebote sorgfältig vergleicht und dabei sowohl auf Zinsen als auch auf Sicherheit und steuerliche Aspekte achtet, kann von den derzeit günstigen Bedingungen profitieren.</w:t>
      </w:r>
    </w:p>
    <w:p w14:paraId="1EA24449" w14:textId="6C1AD527" w:rsidR="001823CB" w:rsidRDefault="001823CB" w:rsidP="000B6C74"/>
    <w:sectPr w:rsidR="001823CB">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C74"/>
    <w:rsid w:val="00005502"/>
    <w:rsid w:val="000B6C74"/>
    <w:rsid w:val="001823CB"/>
    <w:rsid w:val="007E394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F1F6E"/>
  <w15:chartTrackingRefBased/>
  <w15:docId w15:val="{40952ECE-E1A4-4A52-9356-EDE663C46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0B6C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B6C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B6C74"/>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B6C74"/>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B6C74"/>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B6C74"/>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B6C74"/>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B6C74"/>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B6C74"/>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B6C74"/>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B6C74"/>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B6C74"/>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B6C74"/>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B6C74"/>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B6C74"/>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B6C74"/>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B6C74"/>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B6C74"/>
    <w:rPr>
      <w:rFonts w:eastAsiaTheme="majorEastAsia" w:cstheme="majorBidi"/>
      <w:color w:val="272727" w:themeColor="text1" w:themeTint="D8"/>
    </w:rPr>
  </w:style>
  <w:style w:type="paragraph" w:styleId="Titel">
    <w:name w:val="Title"/>
    <w:basedOn w:val="Standard"/>
    <w:next w:val="Standard"/>
    <w:link w:val="TitelZchn"/>
    <w:uiPriority w:val="10"/>
    <w:qFormat/>
    <w:rsid w:val="000B6C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B6C74"/>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B6C74"/>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B6C74"/>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B6C74"/>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B6C74"/>
    <w:rPr>
      <w:i/>
      <w:iCs/>
      <w:color w:val="404040" w:themeColor="text1" w:themeTint="BF"/>
    </w:rPr>
  </w:style>
  <w:style w:type="paragraph" w:styleId="Listenabsatz">
    <w:name w:val="List Paragraph"/>
    <w:basedOn w:val="Standard"/>
    <w:uiPriority w:val="34"/>
    <w:qFormat/>
    <w:rsid w:val="000B6C74"/>
    <w:pPr>
      <w:ind w:left="720"/>
      <w:contextualSpacing/>
    </w:pPr>
  </w:style>
  <w:style w:type="character" w:styleId="IntensiveHervorhebung">
    <w:name w:val="Intense Emphasis"/>
    <w:basedOn w:val="Absatz-Standardschriftart"/>
    <w:uiPriority w:val="21"/>
    <w:qFormat/>
    <w:rsid w:val="000B6C74"/>
    <w:rPr>
      <w:i/>
      <w:iCs/>
      <w:color w:val="0F4761" w:themeColor="accent1" w:themeShade="BF"/>
    </w:rPr>
  </w:style>
  <w:style w:type="paragraph" w:styleId="IntensivesZitat">
    <w:name w:val="Intense Quote"/>
    <w:basedOn w:val="Standard"/>
    <w:next w:val="Standard"/>
    <w:link w:val="IntensivesZitatZchn"/>
    <w:uiPriority w:val="30"/>
    <w:qFormat/>
    <w:rsid w:val="000B6C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B6C74"/>
    <w:rPr>
      <w:i/>
      <w:iCs/>
      <w:color w:val="0F4761" w:themeColor="accent1" w:themeShade="BF"/>
    </w:rPr>
  </w:style>
  <w:style w:type="character" w:styleId="IntensiverVerweis">
    <w:name w:val="Intense Reference"/>
    <w:basedOn w:val="Absatz-Standardschriftart"/>
    <w:uiPriority w:val="32"/>
    <w:qFormat/>
    <w:rsid w:val="000B6C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1053</Words>
  <Characters>6639</Characters>
  <Application>Microsoft Office Word</Application>
  <DocSecurity>0</DocSecurity>
  <Lines>55</Lines>
  <Paragraphs>15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Nicole Hahn</dc:creator>
  <cp:keywords/>
  <dc:description/>
  <cp:lastModifiedBy>Nicole Hahn</cp:lastModifiedBy>
  <cp:revision>1</cp:revision>
  <dcterms:created xsi:type="dcterms:W3CDTF">2026-04-04T14:41:00Z</dcterms:created>
  <dcterms:modified xsi:type="dcterms:W3CDTF">2026-04-04T15:01:00Z</dcterms:modified>
</cp:coreProperties>
</file>