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46464"/>
          <w:sz w:val="20"/>
        </w:rPr>
        <w:t>UNCLASSIFIED // SYNTHETIC TEST DATA</w:t>
        <w:br/>
      </w:r>
      <w:r>
        <w:rPr>
          <w:rFonts w:ascii="Arial" w:hAnsi="Arial"/>
          <w:b/>
          <w:color w:val="22365D"/>
          <w:sz w:val="36"/>
        </w:rPr>
        <w:t>Asterion Engineering Change Proposal ECP-04</w:t>
        <w:br/>
      </w:r>
      <w:r>
        <w:rPr>
          <w:i/>
          <w:color w:val="464646"/>
          <w:sz w:val="22"/>
        </w:rPr>
        <w:t>Thermal isolator and harness reroute package</w:t>
        <w:br/>
      </w:r>
      <w:r>
        <w:rPr>
          <w:color w:val="5A5A5A"/>
          <w:sz w:val="20"/>
        </w:rPr>
        <w:t>Revision: Rev C | Date: 22 Jul 2028</w:t>
      </w:r>
    </w:p>
    <w:p/>
    <w:p>
      <w:pPr>
        <w:pStyle w:val="Heading1"/>
      </w:pPr>
      <w:r>
        <w:t>1. Change Identification and Summary</w:t>
      </w:r>
    </w:p>
    <w:p>
      <w:pPr>
        <w:spacing w:after="120" w:line="276" w:lineRule="auto"/>
      </w:pPr>
      <w:r>
        <w:rPr>
          <w:rFonts w:ascii="Arial" w:hAnsi="Arial"/>
          <w:sz w:val="21"/>
        </w:rPr>
        <w:t>Engineering Change Proposal ECP-04 Rev C documents a configuration change to the Asterion ISR Payload Modernization payload tray and forward latch region in order to recover thermal margin, reduce harness susceptibility to EMI, and preserve maintainability. The approved design introduces thermal isolator TI-88, revises the forward latch stack-up to include LAS-2B, and relocates the harness clamp path originally implicated in bench run BR-19. The change package is configuration-controlled and supersedes earlier study drafts discussed in July engineering meetings.</w:t>
      </w:r>
    </w:p>
    <w:p>
      <w:pPr>
        <w:spacing w:after="120" w:line="276" w:lineRule="auto"/>
      </w:pPr>
      <w:r>
        <w:rPr>
          <w:rFonts w:ascii="Arial" w:hAnsi="Arial"/>
          <w:sz w:val="21"/>
        </w:rPr>
        <w:t>The change board approved the technical direction on 22 Jul 2028 after reviewing thermal chamber data, integration mock-up results, and the branch schedule prepared by program controls. The key point is that the program chose a combined mechanical and routing change rather than a narrower harness-only fix because the narrower fix would not have restored enough hot-day margin on PWR-19A.</w:t>
      </w:r>
    </w:p>
    <w:p>
      <w:pPr>
        <w:pStyle w:val="Heading1"/>
      </w:pPr>
      <w:r>
        <w:t>2. Problem Statement</w:t>
      </w:r>
    </w:p>
    <w:p>
      <w:pPr>
        <w:spacing w:after="120" w:line="276" w:lineRule="auto"/>
      </w:pPr>
      <w:r>
        <w:rPr>
          <w:rFonts w:ascii="Arial" w:hAnsi="Arial"/>
          <w:sz w:val="21"/>
        </w:rPr>
        <w:t>Prior to this change, hot-day testing at Mesa Array Lab indicated less than 2.0 C margin at the PWR-19A interface during a representative mission load. In the same period, bench run BR-19 observed transient noise coupled into the harness crossing near the latch region of MXR-2140. The system could potentially have proceeded with waiver-based rationale into later integration, but that path carried unacceptable technical and schedule risk because any field-discovered thermal or EMI issue would have forced a more expensive retrofit.</w:t>
      </w:r>
    </w:p>
    <w:p>
      <w:pPr>
        <w:spacing w:after="120" w:line="276" w:lineRule="auto"/>
      </w:pPr>
      <w:r>
        <w:rPr>
          <w:rFonts w:ascii="Arial" w:hAnsi="Arial"/>
          <w:sz w:val="21"/>
        </w:rPr>
        <w:t>The engineering team therefore evaluated whether a small passive isolator, revised latch stack-up, and harness clamp relocation could jointly solve the observed conditions. Analysis and fit-check results showed that the combined approach restored thermal margin and improved cable separation while preserving service access.</w:t>
      </w:r>
    </w:p>
    <w:p>
      <w:pPr>
        <w:pStyle w:val="Heading1"/>
      </w:pPr>
      <w:r>
        <w:t>3. Technical Description of the Change</w:t>
      </w:r>
    </w:p>
    <w:p>
      <w:pPr>
        <w:spacing w:after="120" w:line="276" w:lineRule="auto"/>
      </w:pPr>
      <w:r>
        <w:rPr>
          <w:rFonts w:ascii="Arial" w:hAnsi="Arial"/>
          <w:sz w:val="21"/>
        </w:rPr>
        <w:t>The approved configuration inserts TI-88 between the power conditioning mounting face and the adjacent structure, updates the latch hardware to LAS-2B, and relocates the harness clamp point to improve separation from the return path. Drawing updates apply to the tray assembly, latch stack, and harness installation notes. Mass properties remain within the payload allocation but require updated documentation because the distribution changed slightly at the forward edge.</w:t>
      </w:r>
    </w:p>
    <w:p>
      <w:pPr>
        <w:spacing w:after="120" w:line="276" w:lineRule="auto"/>
      </w:pPr>
      <w:r>
        <w:rPr>
          <w:rFonts w:ascii="Arial" w:hAnsi="Arial"/>
          <w:sz w:val="21"/>
        </w:rPr>
        <w:t>Qualification impact is limited but non-zero. The program will repeat selected vibration and thermal runs, update fit-check evidence, and refresh integration work instructions. The change does not alter external aircraft interfaces or mission software baselines. It does alter recurring unit content and therefore affects both non-recurring engineering and recurring material cost.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4F81BD"/>
          </w:tcPr>
          <w:p>
            <w:r>
              <w:rPr>
                <w:rFonts w:ascii="Arial" w:hAnsi="Arial"/>
                <w:b/>
                <w:color w:val="FFFFFF"/>
                <w:sz w:val="19"/>
              </w:rPr>
              <w:t>Affected Item</w:t>
            </w:r>
          </w:p>
        </w:tc>
        <w:tc>
          <w:tcPr>
            <w:tcW w:type="dxa" w:w="2484"/>
            <w:vAlign w:val="center"/>
            <w:shd w:fill="4F81BD"/>
          </w:tcPr>
          <w:p>
            <w:r>
              <w:rPr>
                <w:rFonts w:ascii="Arial" w:hAnsi="Arial"/>
                <w:b/>
                <w:color w:val="FFFFFF"/>
                <w:sz w:val="19"/>
              </w:rPr>
              <w:t>Prior Configuration</w:t>
            </w:r>
          </w:p>
        </w:tc>
        <w:tc>
          <w:tcPr>
            <w:tcW w:type="dxa" w:w="2484"/>
            <w:vAlign w:val="center"/>
            <w:shd w:fill="4F81BD"/>
          </w:tcPr>
          <w:p>
            <w:r>
              <w:rPr>
                <w:rFonts w:ascii="Arial" w:hAnsi="Arial"/>
                <w:b/>
                <w:color w:val="FFFFFF"/>
                <w:sz w:val="19"/>
              </w:rPr>
              <w:t>New Configuration</w:t>
            </w:r>
          </w:p>
        </w:tc>
        <w:tc>
          <w:tcPr>
            <w:tcW w:type="dxa" w:w="2484"/>
            <w:vAlign w:val="center"/>
            <w:shd w:fill="4F81BD"/>
          </w:tcPr>
          <w:p>
            <w:r>
              <w:rPr>
                <w:rFonts w:ascii="Arial" w:hAnsi="Arial"/>
                <w:b/>
                <w:color w:val="FFFFFF"/>
                <w:sz w:val="19"/>
              </w:rPr>
              <w:t>Primary Benefit</w:t>
            </w:r>
          </w:p>
        </w:tc>
      </w:tr>
      <w:tr>
        <w:tc>
          <w:tcPr>
            <w:tcW w:type="dxa" w:w="2484"/>
            <w:vAlign w:val="center"/>
          </w:tcPr>
          <w:p>
            <w:r>
              <w:rPr>
                <w:rFonts w:ascii="Arial" w:hAnsi="Arial"/>
                <w:sz w:val="19"/>
              </w:rPr>
              <w:t>PWR-19A</w:t>
            </w:r>
          </w:p>
        </w:tc>
        <w:tc>
          <w:tcPr>
            <w:tcW w:type="dxa" w:w="2484"/>
            <w:vAlign w:val="center"/>
          </w:tcPr>
          <w:p>
            <w:r>
              <w:rPr>
                <w:rFonts w:ascii="Arial" w:hAnsi="Arial"/>
                <w:sz w:val="19"/>
              </w:rPr>
              <w:t>Direct mount to existing bracket</w:t>
            </w:r>
          </w:p>
        </w:tc>
        <w:tc>
          <w:tcPr>
            <w:tcW w:type="dxa" w:w="2484"/>
            <w:vAlign w:val="center"/>
          </w:tcPr>
          <w:p>
            <w:r>
              <w:rPr>
                <w:rFonts w:ascii="Arial" w:hAnsi="Arial"/>
                <w:sz w:val="19"/>
              </w:rPr>
              <w:t>Mounted with TI-88</w:t>
            </w:r>
          </w:p>
        </w:tc>
        <w:tc>
          <w:tcPr>
            <w:tcW w:type="dxa" w:w="2484"/>
            <w:vAlign w:val="center"/>
          </w:tcPr>
          <w:p>
            <w:r>
              <w:rPr>
                <w:rFonts w:ascii="Arial" w:hAnsi="Arial"/>
                <w:sz w:val="19"/>
              </w:rPr>
              <w:t>Restores thermal margin</w:t>
            </w:r>
          </w:p>
        </w:tc>
      </w:tr>
      <w:tr>
        <w:tc>
          <w:tcPr>
            <w:tcW w:type="dxa" w:w="2484"/>
            <w:vAlign w:val="center"/>
          </w:tcPr>
          <w:p>
            <w:r>
              <w:rPr>
                <w:rFonts w:ascii="Arial" w:hAnsi="Arial"/>
                <w:sz w:val="19"/>
              </w:rPr>
              <w:t>Forward latch stack</w:t>
            </w:r>
          </w:p>
        </w:tc>
        <w:tc>
          <w:tcPr>
            <w:tcW w:type="dxa" w:w="2484"/>
            <w:vAlign w:val="center"/>
          </w:tcPr>
          <w:p>
            <w:r>
              <w:rPr>
                <w:rFonts w:ascii="Arial" w:hAnsi="Arial"/>
                <w:sz w:val="19"/>
              </w:rPr>
              <w:t>Legacy latch hardware</w:t>
            </w:r>
          </w:p>
        </w:tc>
        <w:tc>
          <w:tcPr>
            <w:tcW w:type="dxa" w:w="2484"/>
            <w:vAlign w:val="center"/>
          </w:tcPr>
          <w:p>
            <w:r>
              <w:rPr>
                <w:rFonts w:ascii="Arial" w:hAnsi="Arial"/>
                <w:sz w:val="19"/>
              </w:rPr>
              <w:t>LAS-2B</w:t>
            </w:r>
          </w:p>
        </w:tc>
        <w:tc>
          <w:tcPr>
            <w:tcW w:type="dxa" w:w="2484"/>
            <w:vAlign w:val="center"/>
          </w:tcPr>
          <w:p>
            <w:r>
              <w:rPr>
                <w:rFonts w:ascii="Arial" w:hAnsi="Arial"/>
                <w:sz w:val="19"/>
              </w:rPr>
              <w:t>Improves fit and clearance</w:t>
            </w:r>
          </w:p>
        </w:tc>
      </w:tr>
      <w:tr>
        <w:tc>
          <w:tcPr>
            <w:tcW w:type="dxa" w:w="2484"/>
            <w:vAlign w:val="center"/>
          </w:tcPr>
          <w:p>
            <w:r>
              <w:rPr>
                <w:rFonts w:ascii="Arial" w:hAnsi="Arial"/>
                <w:sz w:val="19"/>
              </w:rPr>
              <w:t>Harness clamp path</w:t>
            </w:r>
          </w:p>
        </w:tc>
        <w:tc>
          <w:tcPr>
            <w:tcW w:type="dxa" w:w="2484"/>
            <w:vAlign w:val="center"/>
          </w:tcPr>
          <w:p>
            <w:r>
              <w:rPr>
                <w:rFonts w:ascii="Arial" w:hAnsi="Arial"/>
                <w:sz w:val="19"/>
              </w:rPr>
              <w:t>Original BR-19 route</w:t>
            </w:r>
          </w:p>
        </w:tc>
        <w:tc>
          <w:tcPr>
            <w:tcW w:type="dxa" w:w="2484"/>
            <w:vAlign w:val="center"/>
          </w:tcPr>
          <w:p>
            <w:r>
              <w:rPr>
                <w:rFonts w:ascii="Arial" w:hAnsi="Arial"/>
                <w:sz w:val="19"/>
              </w:rPr>
              <w:t>Relocated clamp and service loop</w:t>
            </w:r>
          </w:p>
        </w:tc>
        <w:tc>
          <w:tcPr>
            <w:tcW w:type="dxa" w:w="2484"/>
            <w:vAlign w:val="center"/>
          </w:tcPr>
          <w:p>
            <w:r>
              <w:rPr>
                <w:rFonts w:ascii="Arial" w:hAnsi="Arial"/>
                <w:sz w:val="19"/>
              </w:rPr>
              <w:t>Reduces EMI coupling risk</w:t>
            </w:r>
          </w:p>
        </w:tc>
      </w:tr>
    </w:tbl>
    <w:p/>
    <w:p>
      <w:pPr>
        <w:pStyle w:val="Heading1"/>
      </w:pPr>
      <w:r>
        <w:t>4. Cost Impact</w:t>
      </w:r>
    </w:p>
    <w:p>
      <w:pPr>
        <w:spacing w:after="120" w:line="276" w:lineRule="auto"/>
      </w:pPr>
      <w:r>
        <w:rPr>
          <w:rFonts w:ascii="Arial" w:hAnsi="Arial"/>
          <w:sz w:val="21"/>
        </w:rPr>
        <w:t>The approved total cost impact is $1.78M, composed of $1.37M of non-recurring engineering and $0.41M of recurring unit-content increase. Non-recurring elements include analysis rerun, drawing release, mock-up work, qualification delta testing, and updated work instructions. Recurring elements include the new isolator hardware, revised latch content, and minor installation labor growth.</w:t>
      </w:r>
    </w:p>
    <w:p>
      <w:pPr>
        <w:spacing w:after="120" w:line="276" w:lineRule="auto"/>
      </w:pPr>
      <w:r>
        <w:rPr>
          <w:rFonts w:ascii="Arial" w:hAnsi="Arial"/>
          <w:sz w:val="21"/>
        </w:rPr>
        <w:t>Program controls incorporated the change into the current estimate to complete, increasing the total from $47.80M to $49.58M. Management reserve was partially consumed rather than increased. This is important because a user may see the higher total in the workbook or the status review and ask what caused it; this change package is the causal explanation.</w:t>
      </w:r>
    </w:p>
    <w:p>
      <w:pPr>
        <w:pStyle w:val="Heading1"/>
      </w:pPr>
      <w:r>
        <w:t>5. Schedule Impact</w:t>
      </w:r>
    </w:p>
    <w:p>
      <w:pPr>
        <w:spacing w:after="120" w:line="276" w:lineRule="auto"/>
      </w:pPr>
      <w:r>
        <w:rPr>
          <w:rFonts w:ascii="Arial" w:hAnsi="Arial"/>
          <w:sz w:val="21"/>
        </w:rPr>
        <w:t>The approved schedule impact is +43 calendar days to critical design review and +35 calendar days to engineering verification test entry. CDR moved from 14 Aug 2028 to 26 Sep 2028. EVT moved from 04 Nov 2028 to 09 Dec 2028. The deltas are not identical because some qualification preparation and document work can proceed in parallel even while hardware changes are being incorporated.</w:t>
      </w:r>
    </w:p>
    <w:p>
      <w:pPr>
        <w:spacing w:after="120" w:line="276" w:lineRule="auto"/>
      </w:pPr>
      <w:r>
        <w:rPr>
          <w:rFonts w:ascii="Arial" w:hAnsi="Arial"/>
          <w:sz w:val="21"/>
        </w:rPr>
        <w:t>The change board considered whether to preserve the original CDR date and carry open actions. That option was rejected because it would have shifted risk downstream without preserving meaningful execution confidence. By moving the milestone formally, the program aligned technical maturity, schedule logic, and budget narrative.</w:t>
      </w:r>
    </w:p>
    <w:p>
      <w:pPr>
        <w:pStyle w:val="Heading1"/>
      </w:pPr>
      <w:r>
        <w:t>6. Risks, Interfaces, and Disposition</w:t>
      </w:r>
    </w:p>
    <w:p>
      <w:pPr>
        <w:spacing w:after="120" w:line="276" w:lineRule="auto"/>
      </w:pPr>
      <w:r>
        <w:rPr>
          <w:rFonts w:ascii="Arial" w:hAnsi="Arial"/>
          <w:sz w:val="21"/>
        </w:rPr>
        <w:t>The change reduces the likelihood of thermal and EMI escapes but leaves some open dependency on supplier recovery for GBL-77C. North Coast Systems LLC performance therefore remains a separate watch item. The board concluded that the ECP addresses the program's most acute design issue but does not eliminate all schedule sensitivity.</w:t>
      </w:r>
    </w:p>
    <w:p>
      <w:pPr>
        <w:spacing w:after="120" w:line="276" w:lineRule="auto"/>
      </w:pPr>
      <w:r>
        <w:rPr>
          <w:rFonts w:ascii="Arial" w:hAnsi="Arial"/>
          <w:sz w:val="21"/>
        </w:rPr>
        <w:t>Disposition: approved for implementation into all remaining first article and production-representative builds. Prior study drafts are superseded. Program documents describing pre-change estimates should be retained for traceability but not used as the current source of truth for dates or totals.</w:t>
      </w:r>
    </w:p>
    <w:p>
      <w:pPr>
        <w:pStyle w:val="Heading1"/>
      </w:pPr>
      <w:r>
        <w:t>Appendix A. Dependencies and Interfaces</w:t>
      </w:r>
    </w:p>
    <w:p>
      <w:pPr>
        <w:spacing w:after="120" w:line="276" w:lineRule="auto"/>
      </w:pPr>
      <w:r>
        <w:rPr>
          <w:rFonts w:ascii="Arial" w:hAnsi="Arial"/>
          <w:sz w:val="21"/>
        </w:rPr>
        <w:t>This document sits inside a broader execution thread for Asterion ISR Payload Modernization under contract SYN-AV-28-1042. Readers should expect related information to appear in planning notes, workbooks, meeting records, and other formal reports. The program office intentionally distributes truth across those artifacts: schedules tend to be most explicit in workbooks, supplier obligations are often clearest in statements of work or proposals, and causal explanations may appear first in draft notes before they are restated in a controlled format.</w:t>
      </w:r>
    </w:p>
    <w:p>
      <w:pPr>
        <w:spacing w:after="120" w:line="276" w:lineRule="auto"/>
      </w:pPr>
      <w:r>
        <w:rPr>
          <w:rFonts w:ascii="Arial" w:hAnsi="Arial"/>
          <w:sz w:val="21"/>
        </w:rPr>
        <w:t>Key interfaces in this program include the prime organization Talon Vector Defense, suppliers such as North Coast Systems LLC, Mesa Micro Optics, and execution sites including Redwood Integration Center and Mesa Array Lab. Similar entity names also appear elsewhere in the corpus, so analysts should use program context rather than string similarity alone when joining evidence.</w:t>
      </w:r>
    </w:p>
    <w:p>
      <w:pPr>
        <w:pStyle w:val="Heading1"/>
      </w:pPr>
      <w:r>
        <w:t>Appendix B. Assumptions and Management Attention Items</w:t>
      </w:r>
    </w:p>
    <w:p>
      <w:pPr>
        <w:spacing w:after="120" w:line="276" w:lineRule="auto"/>
      </w:pPr>
      <w:r>
        <w:rPr>
          <w:rFonts w:ascii="Arial" w:hAnsi="Arial"/>
          <w:sz w:val="21"/>
        </w:rPr>
        <w:t>Management assumptions embedded in this document include stable access to facilities, timely review cycles, and disciplined change control. If any of those assumptions erode, the resulting schedule or cost impact may appear first in the associated workbook rather than in a revised narrative. This is a normal feature of program execution and is deliberately represented here to create realistic retrieval conditions.</w:t>
      </w:r>
    </w:p>
    <w:p>
      <w:pPr>
        <w:spacing w:after="120" w:line="276" w:lineRule="auto"/>
      </w:pPr>
      <w:r>
        <w:rPr>
          <w:rFonts w:ascii="Arial" w:hAnsi="Arial"/>
          <w:sz w:val="21"/>
        </w:rPr>
        <w:t>Leadership attention is focused on maintaining internal consistency across technical, schedule, supplier, and financial reporting. A document that looks authoritative but still carries superseded dates or draft estimates should be interpreted carefully. Users evaluating a RAG system should therefore expect some questions to require choosing the latest controlled source rather than the most verbose source.</w:t>
      </w:r>
    </w:p>
    <w:p>
      <w:pPr>
        <w:pStyle w:val="Heading1"/>
      </w:pPr>
      <w:r>
        <w:t>Appendix C. Referenced or Related Artifacts</w:t>
      </w:r>
    </w:p>
    <w:p>
      <w:pPr>
        <w:spacing w:after="120" w:line="276" w:lineRule="auto"/>
      </w:pPr>
      <w:r>
        <w:rPr>
          <w:rFonts w:ascii="Arial" w:hAnsi="Arial"/>
          <w:sz w:val="21"/>
        </w:rPr>
        <w:t>Related artifacts include narrative notes, financial or schedule workbooks, and supplier-facing packages. Some questions can be answered from this file alone; others require cross-document synthesis, for example linking a milestone move to a supplier issue, or connecting a requirement threshold to a later test result. That cross-reference burden is intentional and is one of the main design goals of the corpus.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