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46464"/>
          <w:sz w:val="20"/>
        </w:rPr>
        <w:t>UNCLASSIFIED // SYNTHETIC TEST DATA</w:t>
        <w:br/>
      </w:r>
      <w:r>
        <w:rPr>
          <w:rFonts w:ascii="Arial" w:hAnsi="Arial"/>
          <w:b/>
          <w:color w:val="22365D"/>
          <w:sz w:val="36"/>
        </w:rPr>
        <w:t>Asterion Subtier Statement of Work</w:t>
        <w:br/>
      </w:r>
      <w:r>
        <w:rPr>
          <w:i/>
          <w:color w:val="464646"/>
          <w:sz w:val="22"/>
        </w:rPr>
        <w:t>North Coast Systems LLC mechanical supply package</w:t>
        <w:br/>
      </w:r>
      <w:r>
        <w:rPr>
          <w:color w:val="5A5A5A"/>
          <w:sz w:val="20"/>
        </w:rPr>
        <w:t>Revision: Rev B | Date: 05 Apr 2028</w:t>
      </w:r>
    </w:p>
    <w:p/>
    <w:p>
      <w:pPr>
        <w:pStyle w:val="Heading1"/>
      </w:pPr>
      <w:r>
        <w:t>1. Purpose and Scope</w:t>
      </w:r>
    </w:p>
    <w:p>
      <w:pPr>
        <w:spacing w:after="120" w:line="276" w:lineRule="auto"/>
      </w:pPr>
      <w:r>
        <w:rPr>
          <w:rFonts w:ascii="Arial" w:hAnsi="Arial"/>
          <w:sz w:val="21"/>
        </w:rPr>
        <w:t>This subtier statement of work defines the mechanical, quality, schedule, and data-delivery obligations of North Coast Systems LLC in support of the Asterion ISR Payload Modernization effort under prime contract SYN-AV-28-1042. North Coast Systems LLC shall produce the GBL-77C gimbal bearing ring assembly and associated inspection artifacts for first article and low-rate initial production support. The statement is intentionally specific about process capability because the bearing land drives payload line-of-sight stability and rework at this location has outsized effect on the integrated build sequence at Redwood Integration Center.</w:t>
      </w:r>
    </w:p>
    <w:p>
      <w:pPr>
        <w:spacing w:after="120" w:line="276" w:lineRule="auto"/>
      </w:pPr>
      <w:r>
        <w:rPr>
          <w:rFonts w:ascii="Arial" w:hAnsi="Arial"/>
          <w:sz w:val="21"/>
        </w:rPr>
        <w:t>The scope includes material procurement, machining, special process control, in-process inspection, final dimensional verification, packaging, delivery of hardware, and delivery of manufacturing data necessary for acceptance. The supplier is not responsible for system integration or electrical harness routing; however, the supplier shall support reasonable prime requests for dimensional clarification if interface concerns emerge with the MXR-2140 or related hardware. Work shall be performed in a manner suitable for a defense aerospace quality environment but the content is entirely fictional and for evaluation use only.</w:t>
      </w:r>
    </w:p>
    <w:p>
      <w:pPr>
        <w:pStyle w:val="Heading1"/>
      </w:pPr>
      <w:r>
        <w:t>2. Applicable Program Context</w:t>
      </w:r>
    </w:p>
    <w:p>
      <w:pPr>
        <w:spacing w:after="120" w:line="276" w:lineRule="auto"/>
      </w:pPr>
      <w:r>
        <w:rPr>
          <w:rFonts w:ascii="Arial" w:hAnsi="Arial"/>
          <w:sz w:val="21"/>
        </w:rPr>
        <w:t>The Asterion payload modernization effort is executing a configuration refresh intended to improve stabilization, maintainability, and thermal margin while preserving the host aircraft mechanical envelope. The subtier items in this SOW are therefore treated as configuration-controlled hardware even though they are sourced below the prime. North Coast Systems LLC shall coordinate drawing interpretation with Talon Vector Defense and shall not implement unilateral process changes to the critical bearing land, anodize masking approach, or final gauging method without written approval.</w:t>
      </w:r>
    </w:p>
    <w:p>
      <w:pPr>
        <w:spacing w:after="120" w:line="276" w:lineRule="auto"/>
      </w:pPr>
      <w:r>
        <w:rPr>
          <w:rFonts w:ascii="Arial" w:hAnsi="Arial"/>
          <w:sz w:val="21"/>
        </w:rPr>
        <w:t>Readers should note the similar but distinct supplier name Northcoast Signal Labs appears elsewhere in the corpus on Blue Mica. That entity has no role in this mechanical procurement. This SOW is solely for North Coast Systems LLC supporting Asterion.</w:t>
      </w:r>
    </w:p>
    <w:p>
      <w:pPr>
        <w:pStyle w:val="Heading1"/>
      </w:pPr>
      <w:r>
        <w:t>3. Technical Requirements</w:t>
      </w:r>
    </w:p>
    <w:p>
      <w:pPr>
        <w:spacing w:after="120" w:line="276" w:lineRule="auto"/>
      </w:pPr>
      <w:r>
        <w:rPr>
          <w:rFonts w:ascii="Arial" w:hAnsi="Arial"/>
          <w:sz w:val="21"/>
        </w:rPr>
        <w:t>The supplier shall fabricate the GBL-77C to drawing TVD-AST-4412 Rev B and maintain traceability to heat lot, machining traveler, and inspection record for each serialized unit. The assembly shall maintain concentricity and runout characteristics consistent with the released drawing and shall achieve process capability Cpk of 1.33 or better on the critical bearing land after process stabilization. Any condition indicating sustained Cpk below 1.00 shall be reported within one business day together with containment actions.</w:t>
      </w:r>
    </w:p>
    <w:p>
      <w:pPr>
        <w:spacing w:after="120" w:line="276" w:lineRule="auto"/>
      </w:pPr>
      <w:r>
        <w:rPr>
          <w:rFonts w:ascii="Arial" w:hAnsi="Arial"/>
          <w:sz w:val="21"/>
        </w:rPr>
        <w:t>Maximum interface mass attributable to the delivered ring and fastener stack shall not cause the payload interface to exceed 18.4 kg at the installation plane when combined with the prime-furnished tray. Operational environmental assumptions for this hardware are -32 C to +55 C. Salt fog qualification is not required for this subtier item. Suppliers shall nonetheless control corrosion protection and packaging quality such that no visible oxidation or handling damage is present at receipt. The supplier shall support gauge studies and shall maintain raw data for any characteristic designated as key.</w:t>
      </w:r>
    </w:p>
    <w:p>
      <w:pPr>
        <w:spacing w:after="120" w:line="276" w:lineRule="auto"/>
      </w:pPr>
      <w:r>
        <w:rPr>
          <w:rFonts w:ascii="Arial" w:hAnsi="Arial"/>
          <w:sz w:val="21"/>
        </w:rPr>
        <w:t>Special process notes: anodize thickness, masking at the bearing land, and final cleaning steps shall be documented and repeatable. Parts shall be free of burrs and foreign material. Any proposed substitute material, processing aid, or dimensional inspection method affecting form, fit, or function shall be treated as a requested deviation rather than an internal optimization.</w:t>
      </w:r>
    </w:p>
    <w:p>
      <w:pPr>
        <w:pStyle w:val="Heading1"/>
      </w:pPr>
      <w:r>
        <w:t>4. Deliverables and Acceptance</w:t>
      </w:r>
    </w:p>
    <w:p>
      <w:pPr>
        <w:spacing w:after="120" w:line="276" w:lineRule="auto"/>
      </w:pPr>
      <w:r>
        <w:rPr>
          <w:rFonts w:ascii="Arial" w:hAnsi="Arial"/>
          <w:sz w:val="21"/>
        </w:rPr>
        <w:t>North Coast Systems LLC shall deliver 36 first article units no later than 15 Oct 2028, followed by a priced option for low-rate support quantities if exercised by the prime. Each shipment shall include serialized packing sheet, certificate of conformance, dimensional inspection report, and any nonconformance disclosures tied to the affected serial numbers. Acceptance at the prime dock does not waive latent quality issues discovered during incoming inspection or integration at Redwood Integration Center.</w:t>
      </w:r>
    </w:p>
    <w:p>
      <w:pPr>
        <w:spacing w:after="120" w:line="276" w:lineRule="auto"/>
      </w:pPr>
      <w:r>
        <w:rPr>
          <w:rFonts w:ascii="Arial" w:hAnsi="Arial"/>
          <w:sz w:val="21"/>
        </w:rPr>
        <w:t>In addition to hardware, the supplier shall deliver a monthly process performance report summarizing yield, scrap, rework hours, and any out-of-family dimensional trends. This requirement exists because schedule protection on Asterion depends on early visibility into supplier drift. The supplier shall also provide a point of contact empowered to attend the weekly production control call if requested.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4F81BD"/>
          </w:tcPr>
          <w:p>
            <w:r>
              <w:rPr>
                <w:rFonts w:ascii="Arial" w:hAnsi="Arial"/>
                <w:b/>
                <w:color w:val="FFFFFF"/>
                <w:sz w:val="19"/>
              </w:rPr>
              <w:t>Deliverable</w:t>
            </w:r>
          </w:p>
        </w:tc>
        <w:tc>
          <w:tcPr>
            <w:tcW w:type="dxa" w:w="2484"/>
            <w:vAlign w:val="center"/>
            <w:shd w:fill="4F81BD"/>
          </w:tcPr>
          <w:p>
            <w:r>
              <w:rPr>
                <w:rFonts w:ascii="Arial" w:hAnsi="Arial"/>
                <w:b/>
                <w:color w:val="FFFFFF"/>
                <w:sz w:val="19"/>
              </w:rPr>
              <w:t>Quantity / Frequency</w:t>
            </w:r>
          </w:p>
        </w:tc>
        <w:tc>
          <w:tcPr>
            <w:tcW w:type="dxa" w:w="2484"/>
            <w:vAlign w:val="center"/>
            <w:shd w:fill="4F81BD"/>
          </w:tcPr>
          <w:p>
            <w:r>
              <w:rPr>
                <w:rFonts w:ascii="Arial" w:hAnsi="Arial"/>
                <w:b/>
                <w:color w:val="FFFFFF"/>
                <w:sz w:val="19"/>
              </w:rPr>
              <w:t>Required Date</w:t>
            </w:r>
          </w:p>
        </w:tc>
        <w:tc>
          <w:tcPr>
            <w:tcW w:type="dxa" w:w="2484"/>
            <w:vAlign w:val="center"/>
            <w:shd w:fill="4F81BD"/>
          </w:tcPr>
          <w:p>
            <w:r>
              <w:rPr>
                <w:rFonts w:ascii="Arial" w:hAnsi="Arial"/>
                <w:b/>
                <w:color w:val="FFFFFF"/>
                <w:sz w:val="19"/>
              </w:rPr>
              <w:t>Acceptance Basis</w:t>
            </w:r>
          </w:p>
        </w:tc>
      </w:tr>
      <w:tr>
        <w:tc>
          <w:tcPr>
            <w:tcW w:type="dxa" w:w="2484"/>
            <w:vAlign w:val="center"/>
          </w:tcPr>
          <w:p>
            <w:r>
              <w:rPr>
                <w:rFonts w:ascii="Arial" w:hAnsi="Arial"/>
                <w:sz w:val="19"/>
              </w:rPr>
              <w:t>First article ring assemblies</w:t>
            </w:r>
          </w:p>
        </w:tc>
        <w:tc>
          <w:tcPr>
            <w:tcW w:type="dxa" w:w="2484"/>
            <w:vAlign w:val="center"/>
          </w:tcPr>
          <w:p>
            <w:r>
              <w:rPr>
                <w:rFonts w:ascii="Arial" w:hAnsi="Arial"/>
                <w:sz w:val="19"/>
              </w:rPr>
              <w:t>36 units</w:t>
            </w:r>
          </w:p>
        </w:tc>
        <w:tc>
          <w:tcPr>
            <w:tcW w:type="dxa" w:w="2484"/>
            <w:vAlign w:val="center"/>
          </w:tcPr>
          <w:p>
            <w:r>
              <w:rPr>
                <w:rFonts w:ascii="Arial" w:hAnsi="Arial"/>
                <w:sz w:val="19"/>
              </w:rPr>
              <w:t>15 Oct 2028</w:t>
            </w:r>
          </w:p>
        </w:tc>
        <w:tc>
          <w:tcPr>
            <w:tcW w:type="dxa" w:w="2484"/>
            <w:vAlign w:val="center"/>
          </w:tcPr>
          <w:p>
            <w:r>
              <w:rPr>
                <w:rFonts w:ascii="Arial" w:hAnsi="Arial"/>
                <w:sz w:val="19"/>
              </w:rPr>
              <w:t>Dimensional report + CoC</w:t>
            </w:r>
          </w:p>
        </w:tc>
      </w:tr>
      <w:tr>
        <w:tc>
          <w:tcPr>
            <w:tcW w:type="dxa" w:w="2484"/>
            <w:vAlign w:val="center"/>
          </w:tcPr>
          <w:p>
            <w:r>
              <w:rPr>
                <w:rFonts w:ascii="Arial" w:hAnsi="Arial"/>
                <w:sz w:val="19"/>
              </w:rPr>
              <w:t>Monthly process report</w:t>
            </w:r>
          </w:p>
        </w:tc>
        <w:tc>
          <w:tcPr>
            <w:tcW w:type="dxa" w:w="2484"/>
            <w:vAlign w:val="center"/>
          </w:tcPr>
          <w:p>
            <w:r>
              <w:rPr>
                <w:rFonts w:ascii="Arial" w:hAnsi="Arial"/>
                <w:sz w:val="19"/>
              </w:rPr>
              <w:t>Monthly</w:t>
            </w:r>
          </w:p>
        </w:tc>
        <w:tc>
          <w:tcPr>
            <w:tcW w:type="dxa" w:w="2484"/>
            <w:vAlign w:val="center"/>
          </w:tcPr>
          <w:p>
            <w:r>
              <w:rPr>
                <w:rFonts w:ascii="Arial" w:hAnsi="Arial"/>
                <w:sz w:val="19"/>
              </w:rPr>
              <w:t>5th working day</w:t>
            </w:r>
          </w:p>
        </w:tc>
        <w:tc>
          <w:tcPr>
            <w:tcW w:type="dxa" w:w="2484"/>
            <w:vAlign w:val="center"/>
          </w:tcPr>
          <w:p>
            <w:r>
              <w:rPr>
                <w:rFonts w:ascii="Arial" w:hAnsi="Arial"/>
                <w:sz w:val="19"/>
              </w:rPr>
              <w:t>Yield / scrap / rework summary</w:t>
            </w:r>
          </w:p>
        </w:tc>
      </w:tr>
      <w:tr>
        <w:tc>
          <w:tcPr>
            <w:tcW w:type="dxa" w:w="2484"/>
            <w:vAlign w:val="center"/>
          </w:tcPr>
          <w:p>
            <w:r>
              <w:rPr>
                <w:rFonts w:ascii="Arial" w:hAnsi="Arial"/>
                <w:sz w:val="19"/>
              </w:rPr>
              <w:t>Corrective action responses</w:t>
            </w:r>
          </w:p>
        </w:tc>
        <w:tc>
          <w:tcPr>
            <w:tcW w:type="dxa" w:w="2484"/>
            <w:vAlign w:val="center"/>
          </w:tcPr>
          <w:p>
            <w:r>
              <w:rPr>
                <w:rFonts w:ascii="Arial" w:hAnsi="Arial"/>
                <w:sz w:val="19"/>
              </w:rPr>
              <w:t>As required</w:t>
            </w:r>
          </w:p>
        </w:tc>
        <w:tc>
          <w:tcPr>
            <w:tcW w:type="dxa" w:w="2484"/>
            <w:vAlign w:val="center"/>
          </w:tcPr>
          <w:p>
            <w:r>
              <w:rPr>
                <w:rFonts w:ascii="Arial" w:hAnsi="Arial"/>
                <w:sz w:val="19"/>
              </w:rPr>
              <w:t>Within 5 business days</w:t>
            </w:r>
          </w:p>
        </w:tc>
        <w:tc>
          <w:tcPr>
            <w:tcW w:type="dxa" w:w="2484"/>
            <w:vAlign w:val="center"/>
          </w:tcPr>
          <w:p>
            <w:r>
              <w:rPr>
                <w:rFonts w:ascii="Arial" w:hAnsi="Arial"/>
                <w:sz w:val="19"/>
              </w:rPr>
              <w:t>Written containment and root cause</w:t>
            </w:r>
          </w:p>
        </w:tc>
      </w:tr>
    </w:tbl>
    <w:p/>
    <w:p>
      <w:pPr>
        <w:pStyle w:val="Heading1"/>
      </w:pPr>
      <w:r>
        <w:t>5. Quality and Configuration Management</w:t>
      </w:r>
    </w:p>
    <w:p>
      <w:pPr>
        <w:spacing w:after="120" w:line="276" w:lineRule="auto"/>
      </w:pPr>
      <w:r>
        <w:rPr>
          <w:rFonts w:ascii="Arial" w:hAnsi="Arial"/>
          <w:sz w:val="21"/>
        </w:rPr>
        <w:t>The supplier shall maintain a controlled traveler and revision-aware work instructions. If any drawing revision is issued by the prime, the supplier shall confirm implementation timing in writing and identify any work-in-process affected by the change. Nonconforming material shall be segregated, serialized, and dispositioned under a documented process. Reworked parts shall remain traceable as reworked parts; they shall not be mixed into a lot with no mark of history.</w:t>
      </w:r>
    </w:p>
    <w:p>
      <w:pPr>
        <w:spacing w:after="120" w:line="276" w:lineRule="auto"/>
      </w:pPr>
      <w:r>
        <w:rPr>
          <w:rFonts w:ascii="Arial" w:hAnsi="Arial"/>
          <w:sz w:val="21"/>
        </w:rPr>
        <w:t>Gauge correlation to prime-owned inspection standards shall be supported on request. Quality escapes affecting interface geometry, coating integrity, or serialized traceability may trigger source surveillance by the prime. The supplier shall preserve objective evidence for at least seven years after final delivery under this SOW.</w:t>
      </w:r>
    </w:p>
    <w:p>
      <w:pPr>
        <w:pStyle w:val="Heading1"/>
      </w:pPr>
      <w:r>
        <w:t>6. Schedule, Communications, and Assumptions</w:t>
      </w:r>
    </w:p>
    <w:p>
      <w:pPr>
        <w:spacing w:after="120" w:line="276" w:lineRule="auto"/>
      </w:pPr>
      <w:r>
        <w:rPr>
          <w:rFonts w:ascii="Arial" w:hAnsi="Arial"/>
          <w:sz w:val="21"/>
        </w:rPr>
        <w:t>This Rev B statement was issued on 05 Apr 2028 to support a program critical design review then targeted for 14 Aug 2028. Subsequent program actions may later revise that downstream milestone, but the supplier shall continue to prosecute first article deliveries to the dates in this document unless formally redirected. The supplier shall notify the buyer within 24 hours of any condition likely to erode two weeks or more of schedule margin.</w:t>
      </w:r>
    </w:p>
    <w:p>
      <w:pPr>
        <w:spacing w:after="120" w:line="276" w:lineRule="auto"/>
      </w:pPr>
      <w:r>
        <w:rPr>
          <w:rFonts w:ascii="Arial" w:hAnsi="Arial"/>
          <w:sz w:val="21"/>
        </w:rPr>
        <w:t>Assumptions include timely receipt of prime-furnished drawings, no major interface redesign after release, and stable access to approved special process sources. If those assumptions no longer hold, the parties will negotiate equitable schedule or cost relief through the applicable subcontract mechanism rather than through informal email instruction.</w:t>
      </w:r>
    </w:p>
    <w:p>
      <w:pPr>
        <w:pStyle w:val="Heading1"/>
      </w:pPr>
      <w:r>
        <w:t>7. Contractual Notes</w:t>
      </w:r>
    </w:p>
    <w:p>
      <w:pPr>
        <w:spacing w:after="120" w:line="276" w:lineRule="auto"/>
      </w:pPr>
      <w:r>
        <w:rPr>
          <w:rFonts w:ascii="Arial" w:hAnsi="Arial"/>
          <w:sz w:val="21"/>
        </w:rPr>
        <w:t>Subcontract pricing and payment mapping will align to the prime's internal work package structure and may be associated with CLIN-like internal charge lines 0003 (first article hardware) and 0005 (quality data and process surveillance support). These labels are synthetic but intentionally similar to real defense contracting conventions. The supplier shall treat all Asterion technical data as controlled program information suitable for the prime environment and marked 'UNCLASSIFIED // SYNTHETIC TEST DATA'.</w:t>
      </w:r>
    </w:p>
    <w:p>
      <w:pPr>
        <w:spacing w:after="120" w:line="276" w:lineRule="auto"/>
      </w:pPr>
      <w:r>
        <w:rPr>
          <w:rFonts w:ascii="Arial" w:hAnsi="Arial"/>
          <w:sz w:val="21"/>
        </w:rPr>
        <w:t>Nothing in this SOW authorizes the supplier to make design authority decisions. Supplier recommendations are encouraged, but configuration changes require written approval through the prime change process.</w:t>
      </w:r>
    </w:p>
    <w:p>
      <w:pPr>
        <w:pStyle w:val="Heading1"/>
      </w:pPr>
      <w:r>
        <w:t>Appendix A. Dependencies and Interfaces</w:t>
      </w:r>
    </w:p>
    <w:p>
      <w:pPr>
        <w:spacing w:after="120" w:line="276" w:lineRule="auto"/>
      </w:pPr>
      <w:r>
        <w:rPr>
          <w:rFonts w:ascii="Arial" w:hAnsi="Arial"/>
          <w:sz w:val="21"/>
        </w:rPr>
        <w:t>This document sits inside a broader execution thread for Asterion ISR Payload Modernization under contract SYN-AV-28-1042. Readers should expect related information to appear in planning notes, workbooks, meeting records, and other formal reports. The program office intentionally distributes truth across those artifacts: schedules tend to be most explicit in workbooks, supplier obligations are often clearest in statements of work or proposals, and causal explanations may appear first in draft notes before they are restated in a controlled format.</w:t>
      </w:r>
    </w:p>
    <w:p>
      <w:pPr>
        <w:spacing w:after="120" w:line="276" w:lineRule="auto"/>
      </w:pPr>
      <w:r>
        <w:rPr>
          <w:rFonts w:ascii="Arial" w:hAnsi="Arial"/>
          <w:sz w:val="21"/>
        </w:rPr>
        <w:t>Key interfaces in this program include the prime organization Talon Vector Defense, suppliers such as North Coast Systems LLC, Mesa Micro Optics, and execution sites including Redwood Integration Center and Mesa Array Lab. Similar entity names also appear elsewhere in the corpus, so analysts should use program context rather than string similarity alone when joining evidence.</w:t>
      </w:r>
    </w:p>
    <w:p>
      <w:pPr>
        <w:pStyle w:val="Heading1"/>
      </w:pPr>
      <w:r>
        <w:t>Appendix B. Assumptions and Management Attention Items</w:t>
      </w:r>
    </w:p>
    <w:p>
      <w:pPr>
        <w:spacing w:after="120" w:line="276" w:lineRule="auto"/>
      </w:pPr>
      <w:r>
        <w:rPr>
          <w:rFonts w:ascii="Arial" w:hAnsi="Arial"/>
          <w:sz w:val="21"/>
        </w:rPr>
        <w:t>Management assumptions embedded in this document include stable access to facilities, timely review cycles, and disciplined change control. If any of those assumptions erode, the resulting schedule or cost impact may appear first in the associated workbook rather than in a revised narrative. This is a normal feature of program execution and is deliberately represented here to create realistic retrieval conditions.</w:t>
      </w:r>
    </w:p>
    <w:p>
      <w:pPr>
        <w:spacing w:after="120" w:line="276" w:lineRule="auto"/>
      </w:pPr>
      <w:r>
        <w:rPr>
          <w:rFonts w:ascii="Arial" w:hAnsi="Arial"/>
          <w:sz w:val="21"/>
        </w:rPr>
        <w:t>Leadership attention is focused on maintaining internal consistency across technical, schedule, supplier, and financial reporting. A document that looks authoritative but still carries superseded dates or draft estimates should be interpreted carefully. Users evaluating a RAG system should therefore expect some questions to require choosing the latest controlled source rather than the most verbose source.</w:t>
      </w:r>
    </w:p>
    <w:p>
      <w:pPr>
        <w:pStyle w:val="Heading1"/>
      </w:pPr>
      <w:r>
        <w:t>Appendix C. Referenced or Related Artifacts</w:t>
      </w:r>
    </w:p>
    <w:p>
      <w:pPr>
        <w:spacing w:after="120" w:line="276" w:lineRule="auto"/>
      </w:pPr>
      <w:r>
        <w:rPr>
          <w:rFonts w:ascii="Arial" w:hAnsi="Arial"/>
          <w:sz w:val="21"/>
        </w:rPr>
        <w:t>Related artifacts include narrative notes, financial or schedule workbooks, and supplier-facing packages. Some questions can be answered from this file alone; others require cross-document synthesis, for example linking a milestone move to a supplier issue, or connecting a requirement threshold to a later test result. That cross-reference burden is intentional and is one of the main design goals of the corpus.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