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464"/>
          <w:sz w:val="20"/>
        </w:rPr>
        <w:t>UNCLASSIFIED // SYNTHETIC TEST DATA</w:t>
        <w:br/>
      </w:r>
      <w:r>
        <w:rPr>
          <w:rFonts w:ascii="Arial" w:hAnsi="Arial"/>
          <w:b/>
          <w:color w:val="22365D"/>
          <w:sz w:val="36"/>
        </w:rPr>
        <w:t>Blue Mica Refresh Execution Plan</w:t>
        <w:br/>
      </w:r>
      <w:r>
        <w:rPr>
          <w:i/>
          <w:color w:val="464646"/>
          <w:sz w:val="22"/>
        </w:rPr>
        <w:t>Phased fielding, compliance, and sustainment approach</w:t>
        <w:br/>
      </w:r>
      <w:r>
        <w:rPr>
          <w:color w:val="5A5A5A"/>
          <w:sz w:val="20"/>
        </w:rPr>
        <w:t>Revision: Rev A | Date: 26 Sep 2028</w:t>
      </w:r>
    </w:p>
    <w:p/>
    <w:p>
      <w:pPr>
        <w:pStyle w:val="Heading1"/>
      </w:pPr>
      <w:r>
        <w:t>1. Program Objective</w:t>
      </w:r>
    </w:p>
    <w:p>
      <w:pPr>
        <w:spacing w:after="120" w:line="276" w:lineRule="auto"/>
      </w:pPr>
      <w:r>
        <w:rPr>
          <w:rFonts w:ascii="Arial" w:hAnsi="Arial"/>
          <w:sz w:val="21"/>
        </w:rPr>
        <w:t>The Blue Mica Tactical Communications Refresh effort refreshes fielded communications kits to improve reliability, battery endurance, audio quality, and serialized accountability while preserving unit-level training tempo. This Rev A plan establishes the phased approach for equipment preparation, compliance validation, fielding waves, training support, and post-fielding sustainment. The plan is intentionally written at the intersection of operations and logistics because technical success alone would not produce durable adoption.</w:t>
      </w:r>
    </w:p>
    <w:p>
      <w:pPr>
        <w:spacing w:after="120" w:line="276" w:lineRule="auto"/>
      </w:pPr>
      <w:r>
        <w:rPr>
          <w:rFonts w:ascii="Arial" w:hAnsi="Arial"/>
          <w:sz w:val="21"/>
        </w:rPr>
        <w:t>The core hardware line includes handset HND-54, crypto module ENC-21M, amplifier AMP-3, and related battery and accessory content. The plan should be read alongside field notes, compliance summaries, and the workbook that carries detailed staffing and spares numbers.</w:t>
      </w:r>
    </w:p>
    <w:p>
      <w:pPr>
        <w:pStyle w:val="Heading1"/>
      </w:pPr>
      <w:r>
        <w:t>2. Fielding Phases</w:t>
      </w:r>
    </w:p>
    <w:p>
      <w:pPr>
        <w:spacing w:after="120" w:line="276" w:lineRule="auto"/>
      </w:pPr>
      <w:r>
        <w:rPr>
          <w:rFonts w:ascii="Arial" w:hAnsi="Arial"/>
          <w:sz w:val="21"/>
        </w:rPr>
        <w:t>Phase 1 covers configuration confirmation, serialization audit, and packaging release. Phase 2 covers training material preparation and instructor rehearsal. Phase 3 covers brigade wave fielding. Phase 4 covers post-wave issue resolution and spare stabilization. The plan intentionally creates explicit gates between phases so that unresolved compliance or serialization issues do not propagate into unit issue events.</w:t>
      </w:r>
    </w:p>
    <w:p>
      <w:pPr>
        <w:spacing w:after="120" w:line="276" w:lineRule="auto"/>
      </w:pPr>
      <w:r>
        <w:rPr>
          <w:rFonts w:ascii="Arial" w:hAnsi="Arial"/>
          <w:sz w:val="21"/>
        </w:rPr>
        <w:t>Wave 2 was originally carried in planning against a baseline of 15 Jan 2029. The program later recognized that this timing was vulnerable if the compliance binder for ENC-21M was incomplete. Rather than forcing the wave, the plan allows a controlled shift to the later date reflected in the workbook and compliance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4F81BD"/>
          </w:tcPr>
          <w:p>
            <w:r>
              <w:rPr>
                <w:rFonts w:ascii="Arial" w:hAnsi="Arial"/>
                <w:b/>
                <w:color w:val="FFFFFF"/>
                <w:sz w:val="19"/>
              </w:rPr>
              <w:t>Phase</w:t>
            </w:r>
          </w:p>
        </w:tc>
        <w:tc>
          <w:tcPr>
            <w:tcW w:type="dxa" w:w="3312"/>
            <w:vAlign w:val="center"/>
            <w:shd w:fill="4F81BD"/>
          </w:tcPr>
          <w:p>
            <w:r>
              <w:rPr>
                <w:rFonts w:ascii="Arial" w:hAnsi="Arial"/>
                <w:b/>
                <w:color w:val="FFFFFF"/>
                <w:sz w:val="19"/>
              </w:rPr>
              <w:t>Primary Owner</w:t>
            </w:r>
          </w:p>
        </w:tc>
        <w:tc>
          <w:tcPr>
            <w:tcW w:type="dxa" w:w="3312"/>
            <w:vAlign w:val="center"/>
            <w:shd w:fill="4F81BD"/>
          </w:tcPr>
          <w:p>
            <w:r>
              <w:rPr>
                <w:rFonts w:ascii="Arial" w:hAnsi="Arial"/>
                <w:b/>
                <w:color w:val="FFFFFF"/>
                <w:sz w:val="19"/>
              </w:rPr>
              <w:t>Exit Criterion</w:t>
            </w:r>
          </w:p>
        </w:tc>
      </w:tr>
      <w:tr>
        <w:tc>
          <w:tcPr>
            <w:tcW w:type="dxa" w:w="3312"/>
            <w:vAlign w:val="center"/>
          </w:tcPr>
          <w:p>
            <w:r>
              <w:rPr>
                <w:rFonts w:ascii="Arial" w:hAnsi="Arial"/>
                <w:sz w:val="19"/>
              </w:rPr>
              <w:t>Configuration / serialization</w:t>
            </w:r>
          </w:p>
        </w:tc>
        <w:tc>
          <w:tcPr>
            <w:tcW w:type="dxa" w:w="3312"/>
            <w:vAlign w:val="center"/>
          </w:tcPr>
          <w:p>
            <w:r>
              <w:rPr>
                <w:rFonts w:ascii="Arial" w:hAnsi="Arial"/>
                <w:sz w:val="19"/>
              </w:rPr>
              <w:t>Program logistics lead</w:t>
            </w:r>
          </w:p>
        </w:tc>
        <w:tc>
          <w:tcPr>
            <w:tcW w:type="dxa" w:w="3312"/>
            <w:vAlign w:val="center"/>
          </w:tcPr>
          <w:p>
            <w:r>
              <w:rPr>
                <w:rFonts w:ascii="Arial" w:hAnsi="Arial"/>
                <w:sz w:val="19"/>
              </w:rPr>
              <w:t>Serialized assets verified</w:t>
            </w:r>
          </w:p>
        </w:tc>
      </w:tr>
      <w:tr>
        <w:tc>
          <w:tcPr>
            <w:tcW w:type="dxa" w:w="3312"/>
            <w:vAlign w:val="center"/>
          </w:tcPr>
          <w:p>
            <w:r>
              <w:rPr>
                <w:rFonts w:ascii="Arial" w:hAnsi="Arial"/>
                <w:sz w:val="19"/>
              </w:rPr>
              <w:t>Training prep</w:t>
            </w:r>
          </w:p>
        </w:tc>
        <w:tc>
          <w:tcPr>
            <w:tcW w:type="dxa" w:w="3312"/>
            <w:vAlign w:val="center"/>
          </w:tcPr>
          <w:p>
            <w:r>
              <w:rPr>
                <w:rFonts w:ascii="Arial" w:hAnsi="Arial"/>
                <w:sz w:val="19"/>
              </w:rPr>
              <w:t>Fielding team</w:t>
            </w:r>
          </w:p>
        </w:tc>
        <w:tc>
          <w:tcPr>
            <w:tcW w:type="dxa" w:w="3312"/>
            <w:vAlign w:val="center"/>
          </w:tcPr>
          <w:p>
            <w:r>
              <w:rPr>
                <w:rFonts w:ascii="Arial" w:hAnsi="Arial"/>
                <w:sz w:val="19"/>
              </w:rPr>
              <w:t>Instructor rehearsal complete</w:t>
            </w:r>
          </w:p>
        </w:tc>
      </w:tr>
      <w:tr>
        <w:tc>
          <w:tcPr>
            <w:tcW w:type="dxa" w:w="3312"/>
            <w:vAlign w:val="center"/>
          </w:tcPr>
          <w:p>
            <w:r>
              <w:rPr>
                <w:rFonts w:ascii="Arial" w:hAnsi="Arial"/>
                <w:sz w:val="19"/>
              </w:rPr>
              <w:t>Wave fielding</w:t>
            </w:r>
          </w:p>
        </w:tc>
        <w:tc>
          <w:tcPr>
            <w:tcW w:type="dxa" w:w="3312"/>
            <w:vAlign w:val="center"/>
          </w:tcPr>
          <w:p>
            <w:r>
              <w:rPr>
                <w:rFonts w:ascii="Arial" w:hAnsi="Arial"/>
                <w:sz w:val="19"/>
              </w:rPr>
              <w:t>Deployment lead</w:t>
            </w:r>
          </w:p>
        </w:tc>
        <w:tc>
          <w:tcPr>
            <w:tcW w:type="dxa" w:w="3312"/>
            <w:vAlign w:val="center"/>
          </w:tcPr>
          <w:p>
            <w:r>
              <w:rPr>
                <w:rFonts w:ascii="Arial" w:hAnsi="Arial"/>
                <w:sz w:val="19"/>
              </w:rPr>
              <w:t>Equipment issued and sign-off captured</w:t>
            </w:r>
          </w:p>
        </w:tc>
      </w:tr>
      <w:tr>
        <w:tc>
          <w:tcPr>
            <w:tcW w:type="dxa" w:w="3312"/>
            <w:vAlign w:val="center"/>
          </w:tcPr>
          <w:p>
            <w:r>
              <w:rPr>
                <w:rFonts w:ascii="Arial" w:hAnsi="Arial"/>
                <w:sz w:val="19"/>
              </w:rPr>
              <w:t>Stabilization</w:t>
            </w:r>
          </w:p>
        </w:tc>
        <w:tc>
          <w:tcPr>
            <w:tcW w:type="dxa" w:w="3312"/>
            <w:vAlign w:val="center"/>
          </w:tcPr>
          <w:p>
            <w:r>
              <w:rPr>
                <w:rFonts w:ascii="Arial" w:hAnsi="Arial"/>
                <w:sz w:val="19"/>
              </w:rPr>
              <w:t>Sustainment lead</w:t>
            </w:r>
          </w:p>
        </w:tc>
        <w:tc>
          <w:tcPr>
            <w:tcW w:type="dxa" w:w="3312"/>
            <w:vAlign w:val="center"/>
          </w:tcPr>
          <w:p>
            <w:r>
              <w:rPr>
                <w:rFonts w:ascii="Arial" w:hAnsi="Arial"/>
                <w:sz w:val="19"/>
              </w:rPr>
              <w:t>Open discrepancies below threshold</w:t>
            </w:r>
          </w:p>
        </w:tc>
      </w:tr>
    </w:tbl>
    <w:p/>
    <w:p>
      <w:pPr>
        <w:pStyle w:val="Heading1"/>
      </w:pPr>
      <w:r>
        <w:t>3. Staffing and Training Strategy</w:t>
      </w:r>
    </w:p>
    <w:p>
      <w:pPr>
        <w:spacing w:after="120" w:line="276" w:lineRule="auto"/>
      </w:pPr>
      <w:r>
        <w:rPr>
          <w:rFonts w:ascii="Arial" w:hAnsi="Arial"/>
          <w:sz w:val="21"/>
        </w:rPr>
        <w:t>The after-action review from the initial brigade package showed that fielding throughput was acceptable but training time was too compressed. Rev A therefore adds one trainer per fielding wave, protects the full curriculum block, and formalizes a quick-reference guide for serialized crypto module handling. The plan also separates classroom, hands-on, and supervisor reconciliation tasks so the training burden is not hidden in deployment labor.</w:t>
      </w:r>
    </w:p>
    <w:p>
      <w:pPr>
        <w:spacing w:after="120" w:line="276" w:lineRule="auto"/>
      </w:pPr>
      <w:r>
        <w:rPr>
          <w:rFonts w:ascii="Arial" w:hAnsi="Arial"/>
          <w:sz w:val="21"/>
        </w:rPr>
        <w:t>These staffing changes are economically small relative to the total program and align with workbook values that separate approximately $0.83M of training content/support from fielding and spares costs. The separation matters because a search for the total program cost may land in the workbook, while a search for why staffing changed should land here or in the after-action notes.</w:t>
      </w:r>
    </w:p>
    <w:p>
      <w:pPr>
        <w:pStyle w:val="Heading1"/>
      </w:pPr>
      <w:r>
        <w:t>4. Compliance and Material Readiness</w:t>
      </w:r>
    </w:p>
    <w:p>
      <w:pPr>
        <w:spacing w:after="120" w:line="276" w:lineRule="auto"/>
      </w:pPr>
      <w:r>
        <w:rPr>
          <w:rFonts w:ascii="Arial" w:hAnsi="Arial"/>
          <w:sz w:val="21"/>
        </w:rPr>
        <w:t>The program shall not release a fielding wave until the compliance package for ENC-21M is complete, serialized asset records are reconciled, and the spare package is staged at the fielding site. The plan deliberately makes compliance a gate rather than a back-office activity because the pilot revealed that late documentation drove avoidable swaps and user confusion.</w:t>
      </w:r>
    </w:p>
    <w:p>
      <w:pPr>
        <w:spacing w:after="120" w:line="276" w:lineRule="auto"/>
      </w:pPr>
      <w:r>
        <w:rPr>
          <w:rFonts w:ascii="Arial" w:hAnsi="Arial"/>
          <w:sz w:val="21"/>
        </w:rPr>
        <w:t>This plan also includes an explicit caution on supplier naming: Northcoast Signal Labs on Blue Mica is not North Coast Systems LLC on Asterion. Documentation teams shall use full legal names in distribution and reporting to prevent cross-program confusion.</w:t>
      </w:r>
    </w:p>
    <w:p>
      <w:pPr>
        <w:pStyle w:val="Heading1"/>
      </w:pPr>
      <w:r>
        <w:t>5. Cost and Sustainment View</w:t>
      </w:r>
    </w:p>
    <w:p>
      <w:pPr>
        <w:spacing w:after="120" w:line="276" w:lineRule="auto"/>
      </w:pPr>
      <w:r>
        <w:rPr>
          <w:rFonts w:ascii="Arial" w:hAnsi="Arial"/>
          <w:sz w:val="21"/>
        </w:rPr>
        <w:t>The current planning split carried in associated financial artifacts is approximately $14.62M for fielding operations, $1.94M for spares, and $0.83M for training and documentation support. Sustainment emphasis is placed on serialized accountability, spare battery posture, and rapid closure of early user comments rather than on depot-level overhaul.</w:t>
      </w:r>
    </w:p>
    <w:p>
      <w:pPr>
        <w:spacing w:after="120" w:line="276" w:lineRule="auto"/>
      </w:pPr>
      <w:r>
        <w:rPr>
          <w:rFonts w:ascii="Arial" w:hAnsi="Arial"/>
          <w:sz w:val="21"/>
        </w:rPr>
        <w:t>The refresh plan should therefore be interpreted as a business execution document as much as a technical one. Its success criteria include user confidence, on-time wave completion, reduced issue recurrence, and stable sustainment handoff.</w:t>
      </w:r>
    </w:p>
    <w:p>
      <w:pPr>
        <w:pStyle w:val="Heading1"/>
      </w:pPr>
      <w:r>
        <w:t>Appendix A. Dependencies and Interfaces</w:t>
      </w:r>
    </w:p>
    <w:p>
      <w:pPr>
        <w:spacing w:after="120" w:line="276" w:lineRule="auto"/>
      </w:pPr>
      <w:r>
        <w:rPr>
          <w:rFonts w:ascii="Arial" w:hAnsi="Arial"/>
          <w:sz w:val="21"/>
        </w:rPr>
        <w:t>This document sits inside a broader execution thread for Blue Mica Tactical Communications Refresh under contract SYN-CM-29-1188. Readers should expect related information to appear in planning notes, workbooks, meeting records, and other formal reports. The program office intentionally distributes truth across those artifacts: schedules tend to be most explicit in workbooks, supplier obligations are often clearest in statements of work or proposals, and causal explanations may appear first in draft notes before they are restated in a controlled format.</w:t>
      </w:r>
    </w:p>
    <w:p>
      <w:pPr>
        <w:spacing w:after="120" w:line="276" w:lineRule="auto"/>
      </w:pPr>
      <w:r>
        <w:rPr>
          <w:rFonts w:ascii="Arial" w:hAnsi="Arial"/>
          <w:sz w:val="21"/>
        </w:rPr>
        <w:t>Key interfaces in this program include the prime organization Northstar Tactical Networks, suppliers such as Northcoast Signal Labs, Veridian Crypto Modules, and execution sites including Bastion Fielding Center and Gray Dune Mobility Hub. Similar entity names also appear elsewhere in the corpus, so analysts should use program context rather than string similarity alone when joining evidence.</w:t>
      </w:r>
    </w:p>
    <w:p>
      <w:pPr>
        <w:pStyle w:val="Heading1"/>
      </w:pPr>
      <w:r>
        <w:t>Appendix B. Assumptions and Management Attention Items</w:t>
      </w:r>
    </w:p>
    <w:p>
      <w:pPr>
        <w:spacing w:after="120" w:line="276" w:lineRule="auto"/>
      </w:pPr>
      <w:r>
        <w:rPr>
          <w:rFonts w:ascii="Arial" w:hAnsi="Arial"/>
          <w:sz w:val="21"/>
        </w:rPr>
        <w:t>Management assumptions embedded in this document include stable access to facilities, timely review cycles, and disciplined change control. If any of those assumptions erode, the resulting schedule or cost impact may appear first in the associated workbook rather than in a revised narrative. This is a normal feature of program execution and is deliberately represented here to create realistic retrieval conditions.</w:t>
      </w:r>
    </w:p>
    <w:p>
      <w:pPr>
        <w:spacing w:after="120" w:line="276" w:lineRule="auto"/>
      </w:pPr>
      <w:r>
        <w:rPr>
          <w:rFonts w:ascii="Arial" w:hAnsi="Arial"/>
          <w:sz w:val="21"/>
        </w:rPr>
        <w:t>Leadership attention is focused on maintaining internal consistency across technical, schedule, supplier, and financial reporting. A document that looks authoritative but still carries superseded dates or draft estimates should be interpreted carefully. Users evaluating a RAG system should therefore expect some questions to require choosing the latest controlled source rather than the most verbose source.</w:t>
      </w:r>
    </w:p>
    <w:p>
      <w:pPr>
        <w:pStyle w:val="Heading1"/>
      </w:pPr>
      <w:r>
        <w:t>Appendix C. Referenced or Related Artifacts</w:t>
      </w:r>
    </w:p>
    <w:p>
      <w:pPr>
        <w:spacing w:after="120" w:line="276" w:lineRule="auto"/>
      </w:pPr>
      <w:r>
        <w:rPr>
          <w:rFonts w:ascii="Arial" w:hAnsi="Arial"/>
          <w:sz w:val="21"/>
        </w:rPr>
        <w:t>Related artifacts include narrative notes, financial or schedule workbooks, and supplier-facing packages. Some questions can be answered from this file alone; others require cross-document synthesis, for example linking a milestone move to a supplier issue, or connecting a requirement threshold to a later test result. That cross-reference burden is intentional and is one of the main design goals of the corpus.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