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646464"/>
          <w:sz w:val="20"/>
        </w:rPr>
        <w:t>UNCLASSIFIED // SYNTHETIC TEST DATA</w:t>
        <w:br/>
      </w:r>
      <w:r>
        <w:rPr>
          <w:rFonts w:ascii="Arial" w:hAnsi="Arial"/>
          <w:b/>
          <w:color w:val="22365D"/>
          <w:sz w:val="36"/>
        </w:rPr>
        <w:t>Blue Mica Vendor Performance Review</w:t>
        <w:br/>
      </w:r>
      <w:r>
        <w:rPr>
          <w:i/>
          <w:color w:val="464646"/>
          <w:sz w:val="22"/>
        </w:rPr>
        <w:t>Execution assessment for major supporting suppliers</w:t>
        <w:br/>
      </w:r>
      <w:r>
        <w:rPr>
          <w:color w:val="5A5A5A"/>
          <w:sz w:val="20"/>
        </w:rPr>
        <w:t>Revision: Rev 1 | Date: 03 Oct 2028</w:t>
      </w:r>
    </w:p>
    <w:p/>
    <w:p>
      <w:pPr>
        <w:pStyle w:val="Heading1"/>
      </w:pPr>
      <w:r>
        <w:t>1. Purpose</w:t>
      </w:r>
    </w:p>
    <w:p>
      <w:pPr>
        <w:spacing w:after="120" w:line="276" w:lineRule="auto"/>
      </w:pPr>
      <w:r>
        <w:rPr>
          <w:rFonts w:ascii="Arial" w:hAnsi="Arial"/>
          <w:sz w:val="21"/>
        </w:rPr>
        <w:t>This vendor performance review compares the key suppliers supporting Blue Mica Tactical Communications Refresh: Northcoast Signal Labs, Veridian Crypto Modules, and Pine Harbor Assemblies. The review is not a source selection. Instead, it supports execution decisions by summarizing each supplier's schedule responsiveness, documentation quality, issue closure behavior, and manufacturing performance.</w:t>
      </w:r>
    </w:p>
    <w:p>
      <w:pPr>
        <w:pStyle w:val="Heading1"/>
      </w:pPr>
      <w:r>
        <w:t>2. Northcoast Signal Labs</w:t>
      </w:r>
    </w:p>
    <w:p>
      <w:pPr>
        <w:spacing w:after="120" w:line="276" w:lineRule="auto"/>
      </w:pPr>
      <w:r>
        <w:rPr>
          <w:rFonts w:ascii="Arial" w:hAnsi="Arial"/>
          <w:sz w:val="21"/>
        </w:rPr>
        <w:t>Northcoast Signal Labs has generally performed well on handset and accessory integration support tied to HND-54. Strengths include responsive engineering support, good issue triage discipline, and willingness to adjust packaging and labeling conventions after field feedback. Weaknesses include occasional confusion caused by the similarity of its name to North Coast Systems LLC, which operates on Asterion. While that is not Northcoast's fault, the program office has required full supplier-name usage in dashboards and presentations to reduce ambiguity.</w:t>
      </w:r>
    </w:p>
    <w:p>
      <w:pPr>
        <w:pStyle w:val="Heading1"/>
      </w:pPr>
      <w:r>
        <w:t>3. Veridian Crypto Modules</w:t>
      </w:r>
    </w:p>
    <w:p>
      <w:pPr>
        <w:spacing w:after="120" w:line="276" w:lineRule="auto"/>
      </w:pPr>
      <w:r>
        <w:rPr>
          <w:rFonts w:ascii="Arial" w:hAnsi="Arial"/>
          <w:sz w:val="21"/>
        </w:rPr>
        <w:t>Veridian Crypto Modules remains the critical path supplier from a compliance and serialization standpoint because its ENC-21M hardware cannot be fielded cleanly unless the supporting certificate package and serialized assignment records are correct. Veridian's hardware quality has been acceptable, but documentation latency created avoidable fielding friction. The program assessed Veridian as technically capable yet administratively inconsistent during the review period.</w:t>
      </w:r>
    </w:p>
    <w:p>
      <w:pPr>
        <w:spacing w:after="120" w:line="276" w:lineRule="auto"/>
      </w:pPr>
      <w:r>
        <w:rPr>
          <w:rFonts w:ascii="Arial" w:hAnsi="Arial"/>
          <w:sz w:val="21"/>
        </w:rPr>
        <w:t>Mitigation actions included earlier freeze dates for serialized assignment, tighter binder review before shipment, and a requirement that open compliance items be surfaced on the weekly execution board rather than handled through ad hoc email.</w:t>
      </w:r>
    </w:p>
    <w:p>
      <w:pPr>
        <w:pStyle w:val="Heading1"/>
      </w:pPr>
      <w:r>
        <w:t>4. Pine Harbor Assemblies</w:t>
      </w:r>
    </w:p>
    <w:p>
      <w:pPr>
        <w:spacing w:after="120" w:line="276" w:lineRule="auto"/>
      </w:pPr>
      <w:r>
        <w:rPr>
          <w:rFonts w:ascii="Arial" w:hAnsi="Arial"/>
          <w:sz w:val="21"/>
        </w:rPr>
        <w:t>Pine Harbor Assemblies supports amplifier and accessory kit assembly around AMP-3. The supplier has met delivery commitments with relatively low drama and has adapted quickly to packaging changes. Pine Harbor is not currently viewed as the highest-risk supplier; however, the program still tracks battery draw behavior and accessory completeness because field issues often manifest as a kit-level problem rather than a single supplier defect.</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4F81BD"/>
          </w:tcPr>
          <w:p>
            <w:r>
              <w:rPr>
                <w:rFonts w:ascii="Arial" w:hAnsi="Arial"/>
                <w:b/>
                <w:color w:val="FFFFFF"/>
                <w:sz w:val="19"/>
              </w:rPr>
              <w:t>Supplier</w:t>
            </w:r>
          </w:p>
        </w:tc>
        <w:tc>
          <w:tcPr>
            <w:tcW w:type="dxa" w:w="2484"/>
            <w:vAlign w:val="center"/>
            <w:shd w:fill="4F81BD"/>
          </w:tcPr>
          <w:p>
            <w:r>
              <w:rPr>
                <w:rFonts w:ascii="Arial" w:hAnsi="Arial"/>
                <w:b/>
                <w:color w:val="FFFFFF"/>
                <w:sz w:val="19"/>
              </w:rPr>
              <w:t>Strength</w:t>
            </w:r>
          </w:p>
        </w:tc>
        <w:tc>
          <w:tcPr>
            <w:tcW w:type="dxa" w:w="2484"/>
            <w:vAlign w:val="center"/>
            <w:shd w:fill="4F81BD"/>
          </w:tcPr>
          <w:p>
            <w:r>
              <w:rPr>
                <w:rFonts w:ascii="Arial" w:hAnsi="Arial"/>
                <w:b/>
                <w:color w:val="FFFFFF"/>
                <w:sz w:val="19"/>
              </w:rPr>
              <w:t>Primary Concern</w:t>
            </w:r>
          </w:p>
        </w:tc>
        <w:tc>
          <w:tcPr>
            <w:tcW w:type="dxa" w:w="2484"/>
            <w:vAlign w:val="center"/>
            <w:shd w:fill="4F81BD"/>
          </w:tcPr>
          <w:p>
            <w:r>
              <w:rPr>
                <w:rFonts w:ascii="Arial" w:hAnsi="Arial"/>
                <w:b/>
                <w:color w:val="FFFFFF"/>
                <w:sz w:val="19"/>
              </w:rPr>
              <w:t>Overall Assessment</w:t>
            </w:r>
          </w:p>
        </w:tc>
      </w:tr>
      <w:tr>
        <w:tc>
          <w:tcPr>
            <w:tcW w:type="dxa" w:w="2484"/>
            <w:vAlign w:val="center"/>
          </w:tcPr>
          <w:p>
            <w:r>
              <w:rPr>
                <w:rFonts w:ascii="Arial" w:hAnsi="Arial"/>
                <w:sz w:val="19"/>
              </w:rPr>
              <w:t>Northcoast Signal Labs</w:t>
            </w:r>
          </w:p>
        </w:tc>
        <w:tc>
          <w:tcPr>
            <w:tcW w:type="dxa" w:w="2484"/>
            <w:vAlign w:val="center"/>
          </w:tcPr>
          <w:p>
            <w:r>
              <w:rPr>
                <w:rFonts w:ascii="Arial" w:hAnsi="Arial"/>
                <w:sz w:val="19"/>
              </w:rPr>
              <w:t>Responsive engineering support</w:t>
            </w:r>
          </w:p>
        </w:tc>
        <w:tc>
          <w:tcPr>
            <w:tcW w:type="dxa" w:w="2484"/>
            <w:vAlign w:val="center"/>
          </w:tcPr>
          <w:p>
            <w:r>
              <w:rPr>
                <w:rFonts w:ascii="Arial" w:hAnsi="Arial"/>
                <w:sz w:val="19"/>
              </w:rPr>
              <w:t>Name confusion in reporting</w:t>
            </w:r>
          </w:p>
        </w:tc>
        <w:tc>
          <w:tcPr>
            <w:tcW w:type="dxa" w:w="2484"/>
            <w:vAlign w:val="center"/>
          </w:tcPr>
          <w:p>
            <w:r>
              <w:rPr>
                <w:rFonts w:ascii="Arial" w:hAnsi="Arial"/>
                <w:sz w:val="19"/>
              </w:rPr>
              <w:t>Good operational partner</w:t>
            </w:r>
          </w:p>
        </w:tc>
      </w:tr>
      <w:tr>
        <w:tc>
          <w:tcPr>
            <w:tcW w:type="dxa" w:w="2484"/>
            <w:vAlign w:val="center"/>
          </w:tcPr>
          <w:p>
            <w:r>
              <w:rPr>
                <w:rFonts w:ascii="Arial" w:hAnsi="Arial"/>
                <w:sz w:val="19"/>
              </w:rPr>
              <w:t>Veridian Crypto Modules</w:t>
            </w:r>
          </w:p>
        </w:tc>
        <w:tc>
          <w:tcPr>
            <w:tcW w:type="dxa" w:w="2484"/>
            <w:vAlign w:val="center"/>
          </w:tcPr>
          <w:p>
            <w:r>
              <w:rPr>
                <w:rFonts w:ascii="Arial" w:hAnsi="Arial"/>
                <w:sz w:val="19"/>
              </w:rPr>
              <w:t>Technically capable crypto hardware</w:t>
            </w:r>
          </w:p>
        </w:tc>
        <w:tc>
          <w:tcPr>
            <w:tcW w:type="dxa" w:w="2484"/>
            <w:vAlign w:val="center"/>
          </w:tcPr>
          <w:p>
            <w:r>
              <w:rPr>
                <w:rFonts w:ascii="Arial" w:hAnsi="Arial"/>
                <w:sz w:val="19"/>
              </w:rPr>
              <w:t>Documentation / certificate timing</w:t>
            </w:r>
          </w:p>
        </w:tc>
        <w:tc>
          <w:tcPr>
            <w:tcW w:type="dxa" w:w="2484"/>
            <w:vAlign w:val="center"/>
          </w:tcPr>
          <w:p>
            <w:r>
              <w:rPr>
                <w:rFonts w:ascii="Arial" w:hAnsi="Arial"/>
                <w:sz w:val="19"/>
              </w:rPr>
              <w:t>Execution risk driver</w:t>
            </w:r>
          </w:p>
        </w:tc>
      </w:tr>
      <w:tr>
        <w:tc>
          <w:tcPr>
            <w:tcW w:type="dxa" w:w="2484"/>
            <w:vAlign w:val="center"/>
          </w:tcPr>
          <w:p>
            <w:r>
              <w:rPr>
                <w:rFonts w:ascii="Arial" w:hAnsi="Arial"/>
                <w:sz w:val="19"/>
              </w:rPr>
              <w:t>Pine Harbor Assemblies</w:t>
            </w:r>
          </w:p>
        </w:tc>
        <w:tc>
          <w:tcPr>
            <w:tcW w:type="dxa" w:w="2484"/>
            <w:vAlign w:val="center"/>
          </w:tcPr>
          <w:p>
            <w:r>
              <w:rPr>
                <w:rFonts w:ascii="Arial" w:hAnsi="Arial"/>
                <w:sz w:val="19"/>
              </w:rPr>
              <w:t>Reliable kit assembly</w:t>
            </w:r>
          </w:p>
        </w:tc>
        <w:tc>
          <w:tcPr>
            <w:tcW w:type="dxa" w:w="2484"/>
            <w:vAlign w:val="center"/>
          </w:tcPr>
          <w:p>
            <w:r>
              <w:rPr>
                <w:rFonts w:ascii="Arial" w:hAnsi="Arial"/>
                <w:sz w:val="19"/>
              </w:rPr>
              <w:t>Accessory completeness under surge</w:t>
            </w:r>
          </w:p>
        </w:tc>
        <w:tc>
          <w:tcPr>
            <w:tcW w:type="dxa" w:w="2484"/>
            <w:vAlign w:val="center"/>
          </w:tcPr>
          <w:p>
            <w:r>
              <w:rPr>
                <w:rFonts w:ascii="Arial" w:hAnsi="Arial"/>
                <w:sz w:val="19"/>
              </w:rPr>
              <w:t>Stable performer</w:t>
            </w:r>
          </w:p>
        </w:tc>
      </w:tr>
    </w:tbl>
    <w:p/>
    <w:p>
      <w:pPr>
        <w:pStyle w:val="Heading1"/>
      </w:pPr>
      <w:r>
        <w:t>5. Takeaways</w:t>
      </w:r>
    </w:p>
    <w:p>
      <w:pPr>
        <w:spacing w:after="120" w:line="276" w:lineRule="auto"/>
      </w:pPr>
      <w:r>
        <w:rPr>
          <w:rFonts w:ascii="Arial" w:hAnsi="Arial"/>
          <w:sz w:val="21"/>
        </w:rPr>
        <w:t>The review concludes that Veridian's documentation behavior is the main reason schedule and fielding confidence eroded, even though Northcoast and Pine Harbor also carried smaller process issues. Users asking 'which supplier created the biggest execution headache' should therefore land on Veridian, while users asking 'who supported the handset well' should land on Northcoast. This distinction is deliberate and useful for evaluation.</w:t>
      </w:r>
    </w:p>
    <w:p>
      <w:pPr>
        <w:pStyle w:val="Heading1"/>
      </w:pPr>
      <w:r>
        <w:t>Appendix A. Dependencies and Interfaces</w:t>
      </w:r>
    </w:p>
    <w:p>
      <w:pPr>
        <w:spacing w:after="120" w:line="276" w:lineRule="auto"/>
      </w:pPr>
      <w:r>
        <w:rPr>
          <w:rFonts w:ascii="Arial" w:hAnsi="Arial"/>
          <w:sz w:val="21"/>
        </w:rPr>
        <w:t>This document sits inside a broader execution thread for Blue Mica Tactical Communications Refresh under contract SYN-CM-29-1188. Readers should expect related information to appear in planning notes, workbooks, meeting records, and other formal reports. The program office intentionally distributes truth across those artifacts: schedules tend to be most explicit in workbooks, supplier obligations are often clearest in statements of work or proposals, and causal explanations may appear first in draft notes before they are restated in a controlled format.</w:t>
      </w:r>
    </w:p>
    <w:p>
      <w:pPr>
        <w:spacing w:after="120" w:line="276" w:lineRule="auto"/>
      </w:pPr>
      <w:r>
        <w:rPr>
          <w:rFonts w:ascii="Arial" w:hAnsi="Arial"/>
          <w:sz w:val="21"/>
        </w:rPr>
        <w:t>Key interfaces in this program include the prime organization Northstar Tactical Networks, suppliers such as Northcoast Signal Labs, Veridian Crypto Modules, and execution sites including Bastion Fielding Center and Gray Dune Mobility Hub. Similar entity names also appear elsewhere in the corpus, so analysts should use program context rather than string similarity alone when joining evidence.</w:t>
      </w:r>
    </w:p>
    <w:p>
      <w:pPr>
        <w:pStyle w:val="Heading1"/>
      </w:pPr>
      <w:r>
        <w:t>Appendix B. Assumptions and Management Attention Items</w:t>
      </w:r>
    </w:p>
    <w:p>
      <w:pPr>
        <w:spacing w:after="120" w:line="276" w:lineRule="auto"/>
      </w:pPr>
      <w:r>
        <w:rPr>
          <w:rFonts w:ascii="Arial" w:hAnsi="Arial"/>
          <w:sz w:val="21"/>
        </w:rPr>
        <w:t>Management assumptions embedded in this document include stable access to facilities, timely review cycles, and disciplined change control. If any of those assumptions erode, the resulting schedule or cost impact may appear first in the associated workbook rather than in a revised narrative. This is a normal feature of program execution and is deliberately represented here to create realistic retrieval conditions.</w:t>
      </w:r>
    </w:p>
    <w:p>
      <w:pPr>
        <w:spacing w:after="120" w:line="276" w:lineRule="auto"/>
      </w:pPr>
      <w:r>
        <w:rPr>
          <w:rFonts w:ascii="Arial" w:hAnsi="Arial"/>
          <w:sz w:val="21"/>
        </w:rPr>
        <w:t>Leadership attention is focused on maintaining internal consistency across technical, schedule, supplier, and financial reporting. A document that looks authoritative but still carries superseded dates or draft estimates should be interpreted carefully. Users evaluating a RAG system should therefore expect some questions to require choosing the latest controlled source rather than the most verbose source.</w:t>
      </w:r>
    </w:p>
    <w:p>
      <w:pPr>
        <w:pStyle w:val="Heading1"/>
      </w:pPr>
      <w:r>
        <w:t>Appendix C. Referenced or Related Artifacts</w:t>
      </w:r>
    </w:p>
    <w:p>
      <w:pPr>
        <w:spacing w:after="120" w:line="276" w:lineRule="auto"/>
      </w:pPr>
      <w:r>
        <w:rPr>
          <w:rFonts w:ascii="Arial" w:hAnsi="Arial"/>
          <w:sz w:val="21"/>
        </w:rPr>
        <w:t>Related artifacts include narrative notes, financial or schedule workbooks, and supplier-facing packages. Some questions can be answered from this file alone; others require cross-document synthesis, for example linking a milestone move to a supplier issue, or connecting a requirement threshold to a later test result. That cross-reference burden is intentional and is one of the main design goals of the corpus.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